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406092">
            <w:pPr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06C88C2A" w:rsidR="00C7347C" w:rsidRPr="00943AB9" w:rsidRDefault="00A3405C" w:rsidP="00861D9C">
            <w:r w:rsidRPr="00A3405C">
              <w:t>There is a fire protection program in place that is followed throughout all phases of the construction and demolition work. [1926.150(a)(1)]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05F9CCC9" w:rsidR="00C7347C" w:rsidRPr="00943AB9" w:rsidRDefault="00800D4D" w:rsidP="00406092">
            <w:pPr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57AA3050" w:rsidR="00C7347C" w:rsidRPr="00943AB9" w:rsidRDefault="00F46334" w:rsidP="00861D9C">
            <w:r w:rsidRPr="00F46334">
              <w:t>Firefighting equipment is easy to find and readily accessible at all times. [1926.150(a)]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5B31E62D" w:rsidR="00C7347C" w:rsidRPr="00943AB9" w:rsidRDefault="00800D4D" w:rsidP="00406092">
            <w:pPr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354540A7" w:rsidR="00C7347C" w:rsidRPr="00943AB9" w:rsidRDefault="00906FB5" w:rsidP="00861D9C">
            <w:r w:rsidRPr="00906FB5">
              <w:t>All firefighting equipment is periodically inspected and always maintained in safe operating condition. Defective equipment is immediately replaced. [1926.150(a)(4)]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62DEE90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95BAB0" w14:textId="24583E2A" w:rsidR="00800D4D" w:rsidRPr="00943AB9" w:rsidRDefault="00800D4D" w:rsidP="00800D4D">
            <w:pPr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427BC1E" w14:textId="2FA3C246" w:rsidR="00800D4D" w:rsidRPr="00943AB9" w:rsidRDefault="00800D4D" w:rsidP="00800D4D">
            <w:r w:rsidRPr="00701B35">
              <w:t>A fire extinguisher, rated at least 2A, is provided for each 3,000 square feet of the protected building area. [1926.150(c)(1)(i)]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525862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689DFE" w14:textId="2D3BF8EA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872829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8203F9" w14:textId="70C8EA0B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384635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DF341C" w14:textId="66C79B4F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74C86F1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5A01A3F" w14:textId="6855A7B9" w:rsidR="00800D4D" w:rsidRPr="00943AB9" w:rsidRDefault="00800D4D" w:rsidP="00800D4D">
            <w:pPr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A1BD8AC" w14:textId="71E47AAC" w:rsidR="00800D4D" w:rsidRPr="00943AB9" w:rsidRDefault="00800D4D" w:rsidP="00800D4D">
            <w:r w:rsidRPr="00A44421">
              <w:t>Travel distance from any point of the protected building area to the nearest fire extinguisher does not exceed 100 feet. [1926.150(c)(1)(i)]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30405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542D02" w14:textId="1079F066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14577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4F5634" w14:textId="31082A0F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480085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7AAF6BC" w14:textId="21425359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1400929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FCCF07D" w14:textId="39105593" w:rsidR="00800D4D" w:rsidRPr="00943AB9" w:rsidRDefault="00800D4D" w:rsidP="00800D4D">
            <w:pPr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32D331" w14:textId="26BAE403" w:rsidR="00800D4D" w:rsidRPr="00943AB9" w:rsidRDefault="00800D4D" w:rsidP="00800D4D">
            <w:r w:rsidRPr="00032A90">
              <w:t xml:space="preserve">A fire extinguisher, rated at least 2A, is provided on each floor and at least one fire extinguisher is </w:t>
            </w:r>
            <w:r w:rsidR="004C6E4C">
              <w:t>by</w:t>
            </w:r>
            <w:r w:rsidRPr="00032A90">
              <w:t xml:space="preserve"> any stairways. [1926.150(c)(1)(iv)]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69631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DCA1DE" w14:textId="6222BB46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145216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3A9BCA" w14:textId="69774E35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704548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E775B91" w14:textId="21004908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146DE06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34CED82" w14:textId="42AFBB6C" w:rsidR="00800D4D" w:rsidRPr="00943AB9" w:rsidRDefault="00800D4D" w:rsidP="00800D4D">
            <w:pPr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94061DA" w14:textId="234D7EC6" w:rsidR="00800D4D" w:rsidRPr="00943AB9" w:rsidRDefault="00800D4D" w:rsidP="00800D4D">
            <w:r>
              <w:t xml:space="preserve">A fire extinguisher, rated at least 10B, is within 50 feet </w:t>
            </w:r>
            <w:r w:rsidRPr="00532FB8">
              <w:t xml:space="preserve">of where more than 5 gallons of flammable or combustible liquids or 5 </w:t>
            </w:r>
            <w:r w:rsidR="00237A75">
              <w:t>lbs.</w:t>
            </w:r>
            <w:r w:rsidRPr="00532FB8">
              <w:t xml:space="preserve"> of flammable gas are being used on the jobsite</w:t>
            </w:r>
            <w:r>
              <w:t>. [1926.150(c)(10(vi)]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944955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F6C8EE" w14:textId="135E7A75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193074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87190B" w14:textId="2A8C9519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804300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D898E1" w14:textId="6E40BB91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019AB36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BF0E6CF" w14:textId="6AB601F6" w:rsidR="00800D4D" w:rsidRPr="00943AB9" w:rsidRDefault="00800D4D" w:rsidP="00800D4D">
            <w:pPr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3D36818" w14:textId="5C5B93F0" w:rsidR="00800D4D" w:rsidRPr="00943AB9" w:rsidRDefault="00800D4D" w:rsidP="00800D4D">
            <w:r w:rsidRPr="008D2548">
              <w:t>If the facility being constructed includes the installation of automatic sprinkler protection, the installation closely follows the construction and is placed in service as soon as allowed. [1926.150(d)(1)(i)]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5133419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4D32D6" w14:textId="6A219532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910583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A43EF1" w14:textId="2565800C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845063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40F7F7D" w14:textId="41EE20E1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7167B8D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CDEE3A5" w14:textId="63763180" w:rsidR="00800D4D" w:rsidRPr="00943AB9" w:rsidRDefault="00800D4D" w:rsidP="00800D4D">
            <w:pPr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DD010D9" w14:textId="2912E989" w:rsidR="00800D4D" w:rsidRPr="00943AB9" w:rsidRDefault="00800D4D" w:rsidP="00800D4D">
            <w:r w:rsidRPr="002F247A">
              <w:t>There is a fire alarm system that notifies employees on the jobsite and the local fire department in the event of an emergency. [1926.150(e)(1)]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30407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2341DA" w14:textId="4D3B15F6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782704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A22D0C" w14:textId="6EC6634B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932265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1A711EF" w14:textId="4BDC27C9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4A3DC24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D38FBD" w14:textId="248C46BD" w:rsidR="00800D4D" w:rsidRPr="00943AB9" w:rsidRDefault="00800D4D" w:rsidP="00800D4D">
            <w:pPr>
              <w:jc w:val="center"/>
            </w:pPr>
            <w: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3E0EDE" w14:textId="1DA545E0" w:rsidR="00800D4D" w:rsidRPr="00943AB9" w:rsidRDefault="00800D4D" w:rsidP="00800D4D">
            <w:r w:rsidRPr="007F4515">
              <w:t>Reporting instructions are posted at phones and at employee entrances. [1926.150(3)(2)]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087693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CD1FE2" w14:textId="76795A75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093671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4CF4A6" w14:textId="2890250E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55111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524C17" w14:textId="3CEA48F4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4EEBA56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B7D86F9" w14:textId="0EA5123F" w:rsidR="00800D4D" w:rsidRPr="00943AB9" w:rsidRDefault="00800D4D" w:rsidP="00800D4D">
            <w:pPr>
              <w:jc w:val="center"/>
            </w:pPr>
            <w:r>
              <w:lastRenderedPageBreak/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9AFDC7E" w14:textId="0482F4F9" w:rsidR="00800D4D" w:rsidRPr="00943AB9" w:rsidRDefault="00800D4D" w:rsidP="00800D4D">
            <w:r w:rsidRPr="00800D4D">
              <w:t>Fire walls and exit stairways are given construction priority. Fire doors, with automatic closing devices, are hung on openings as soon as practicable. [1926.150(f)(1)]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679315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AAA61C" w14:textId="6CE63015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64909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B3864A" w14:textId="55CF9634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33304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33CA7B" w14:textId="17C23D68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3B98C06C" w:rsidR="00800D4D" w:rsidRDefault="00800D4D" w:rsidP="00800D4D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FIRE PREVENTION</w:t>
            </w:r>
          </w:p>
        </w:tc>
      </w:tr>
      <w:tr w:rsidR="00800D4D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09D30F16" w:rsidR="00800D4D" w:rsidRPr="00943AB9" w:rsidRDefault="002F0E0B" w:rsidP="00800D4D">
            <w:pPr>
              <w:jc w:val="center"/>
            </w:pPr>
            <w: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36D7B110" w:rsidR="00800D4D" w:rsidRPr="00943AB9" w:rsidRDefault="007201B0" w:rsidP="00800D4D">
            <w:r w:rsidRPr="007201B0">
              <w:t>All solvent waste, oily rags, and flammable liquids shall be kept in fire resistant covered containers until removed from worksite. [1926.252(e)]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00D4D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08B4E13A" w:rsidR="00800D4D" w:rsidRPr="00943AB9" w:rsidRDefault="002F0E0B" w:rsidP="00800D4D">
            <w:pPr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59505C24" w:rsidR="00800D4D" w:rsidRPr="00943AB9" w:rsidRDefault="00112F2F" w:rsidP="00800D4D">
            <w:r w:rsidRPr="00112F2F">
              <w:t>Internal combustion engine powered equipment is located where the exhausts are well away from combustible materials. When exhausts are piped to outside the building under construction, a clearance of at least 6 inches is maintained between the piping and any combustible material. [1926.151(a)(2)]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800D4D" w:rsidRDefault="00800D4D" w:rsidP="00800D4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5913928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345DAEE" w14:textId="5F5F23D5" w:rsidR="00D66F69" w:rsidRPr="00943AB9" w:rsidRDefault="002F0E0B" w:rsidP="00D66F69">
            <w:pPr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9ECB837" w14:textId="3730A4D1" w:rsidR="00D66F69" w:rsidRPr="00943AB9" w:rsidRDefault="00D66F69" w:rsidP="00D66F69">
            <w:r w:rsidRPr="00D332D6">
              <w:t>Smoking is prohibited near operations considered a fire hazard, and a sign is posted: "No Smoking or Open Flame." [1926.151(a)(3)]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56086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63C659" w14:textId="0C9C2D9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360538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BD148A" w14:textId="5E8EF42B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420959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7C9F047" w14:textId="2D39F36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0AC5151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A7C507" w14:textId="5B9A6C7B" w:rsidR="00D66F69" w:rsidRPr="00943AB9" w:rsidRDefault="002F0E0B" w:rsidP="00D66F69">
            <w:pPr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3E4D6C" w14:textId="149400A6" w:rsidR="00D66F69" w:rsidRPr="00943AB9" w:rsidRDefault="00D66F69" w:rsidP="00D66F69">
            <w:r w:rsidRPr="00094926">
              <w:t>Portable battery-powered lighting equipment, used with the storage, handling, or use of flammable gases or liquids, is of the type approved for the hazardous locations. [1926.151(a)(4)]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097781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2D04B3" w14:textId="1963D15A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671897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1A000C" w14:textId="25632AF6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397251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80AEF7" w14:textId="6873DADC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6604B7C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9719497" w14:textId="1E11845E" w:rsidR="00D66F69" w:rsidRPr="00943AB9" w:rsidRDefault="002F0E0B" w:rsidP="00D66F69">
            <w:pPr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55E58D9" w14:textId="28D27F87" w:rsidR="00D66F69" w:rsidRPr="00943AB9" w:rsidRDefault="00D66F69" w:rsidP="00D66F69">
            <w:r w:rsidRPr="00482768">
              <w:t>No temporary building has been erected where it adversely affects any means of exit. [1926.151(b)(1)]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965197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833733" w14:textId="70E504A6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49319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E98C79" w14:textId="1CF04EAA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022225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BEDBD7" w14:textId="4A069B0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1345F17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E7E4F0F" w14:textId="7817C4AF" w:rsidR="00D66F69" w:rsidRPr="00943AB9" w:rsidRDefault="002F0E0B" w:rsidP="00D66F69">
            <w:pPr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EABF4AD" w14:textId="2EE164AD" w:rsidR="00D66F69" w:rsidRPr="00943AB9" w:rsidRDefault="00D66F69" w:rsidP="00D66F69">
            <w:r w:rsidRPr="009D30E0">
              <w:t>Combustible materials are only piled in a stable manner and never piled higher than 20 feet. [1926.151(c)(1)]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026203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D65F00" w14:textId="4470DF64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033698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0747C8" w14:textId="3936DA5E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9675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59BA1E" w14:textId="0864163A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5E01F40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52962CF" w14:textId="5D657B3A" w:rsidR="00D66F69" w:rsidRPr="00943AB9" w:rsidRDefault="002F0E0B" w:rsidP="00D66F69">
            <w:pPr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FC0645C" w14:textId="652A4A92" w:rsidR="00D66F69" w:rsidRPr="00943AB9" w:rsidRDefault="00D66F69" w:rsidP="00D66F69">
            <w:r w:rsidRPr="008B0205">
              <w:t>The construction storage site does not have an accumulation of unnecessary combustible materials. Weeds and grass are kept down and there is a regular procedure for the periodic cleanup of the entire storage area. [1926.151(c)(3)]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800142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D6E9FF" w14:textId="21B7EE52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654323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DBCDE6" w14:textId="283E83FA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583994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76F0D5" w14:textId="0159CC8A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1EB9D77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60D783E" w14:textId="2DCFA538" w:rsidR="00D66F69" w:rsidRPr="00943AB9" w:rsidRDefault="002F0E0B" w:rsidP="00D66F69">
            <w:pPr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CAC43C" w14:textId="5DCF819A" w:rsidR="00D66F69" w:rsidRPr="00943AB9" w:rsidRDefault="00D66F69" w:rsidP="00D66F69">
            <w:r w:rsidRPr="00E0196B">
              <w:t>There is no combustible material stored outdoors within 10 feet of a building or structure. [1926.151(c)(5)]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0126723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D6DFE1" w14:textId="77395D44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88557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578969" w14:textId="6EBBEC31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393110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53F76B4" w14:textId="3A61029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4B71FD5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F5958C4" w14:textId="75273A4B" w:rsidR="00D66F69" w:rsidRPr="00943AB9" w:rsidRDefault="002F0E0B" w:rsidP="00D66F69">
            <w:pPr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AF0B0E" w14:textId="7F88CC07" w:rsidR="00D66F69" w:rsidRPr="00943AB9" w:rsidRDefault="00D66F69" w:rsidP="00D66F69">
            <w:r w:rsidRPr="001C777E">
              <w:t>Indoor storage areas do not obstruct, or adversely affect, any means of exit. [1926.151(d)(1)]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68692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47E63C" w14:textId="71AEEAB0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546916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5876F2" w14:textId="5E6E4CE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278062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4D7F229" w14:textId="488A5559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02D7820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64B36D7" w14:textId="3FBECCCF" w:rsidR="00D66F69" w:rsidRPr="00943AB9" w:rsidRDefault="002F0E0B" w:rsidP="00D66F69">
            <w:pPr>
              <w:jc w:val="center"/>
            </w:pPr>
            <w: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E83C4C6" w14:textId="22E616AB" w:rsidR="00D66F69" w:rsidRPr="00943AB9" w:rsidRDefault="00D66F69" w:rsidP="00D66F69">
            <w:r w:rsidRPr="007D6A2C">
              <w:t>There is a clearance of at least 36 inches between the top level of material stored indoors and the sprinkler heads. [1926.151(d)(5)]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99737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20C4B5" w14:textId="4B92283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270804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27395B" w14:textId="411EE95B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355031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FD03D96" w14:textId="59EB142F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1A3FA06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D08A14E" w14:textId="19910B2C" w:rsidR="00D66F69" w:rsidRPr="00943AB9" w:rsidRDefault="002F0E0B" w:rsidP="00D66F69">
            <w:pPr>
              <w:jc w:val="center"/>
            </w:pPr>
            <w:r>
              <w:lastRenderedPageBreak/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F212538" w14:textId="33657319" w:rsidR="00D66F69" w:rsidRPr="00943AB9" w:rsidRDefault="00D66F69" w:rsidP="00D66F69">
            <w:r w:rsidRPr="00D66F69">
              <w:t>Clearance is maintained around lights and heating units to prevent the ignition of combustible materials. [1926.151(d)(6)]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340063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9DC729" w14:textId="02716264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108410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EE465C" w14:textId="52D84D66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02487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00E28C9" w14:textId="4F1E2F4D" w:rsidR="00D66F69" w:rsidRDefault="00D66F69" w:rsidP="00D66F6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66F69" w14:paraId="37526CBA" w14:textId="77777777" w:rsidTr="00D66F69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8393FD4" w14:textId="4906158B" w:rsidR="00D66F69" w:rsidRDefault="00C11136" w:rsidP="00D66F69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FLAMMABLE LIQUIDS</w:t>
            </w:r>
          </w:p>
        </w:tc>
      </w:tr>
      <w:tr w:rsidR="005564C0" w14:paraId="4E80DB3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59B4B48" w14:textId="311DF88B" w:rsidR="005564C0" w:rsidRPr="00943AB9" w:rsidRDefault="005564C0" w:rsidP="005564C0">
            <w:pPr>
              <w:jc w:val="center"/>
            </w:pPr>
            <w: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1A3C46D" w14:textId="5BC8C89A" w:rsidR="005564C0" w:rsidRPr="00943AB9" w:rsidRDefault="005564C0" w:rsidP="005564C0">
            <w:r w:rsidRPr="00011A28">
              <w:t>Only approved containers and portable tanks are used for storage and handling of flammable liquids. [1926.152(a)(1)]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392280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2B35712" w14:textId="5DE6129B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25998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2046B2" w14:textId="5E64A557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10476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450FEE" w14:textId="5627DD0F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64C0" w14:paraId="4DB2027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45FC84" w14:textId="2EE0A1E1" w:rsidR="005564C0" w:rsidRPr="00943AB9" w:rsidRDefault="005564C0" w:rsidP="005564C0">
            <w:pPr>
              <w:jc w:val="center"/>
            </w:pPr>
            <w: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1F54433" w14:textId="2BB03A97" w:rsidR="005564C0" w:rsidRPr="00943AB9" w:rsidRDefault="005564C0" w:rsidP="005564C0">
            <w:r w:rsidRPr="00D9489B">
              <w:t>Flammable liquids are not stored in areas used for exits, stairways, or passageways. [1926.152(a)(2)]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987013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460FE6" w14:textId="510C6D9C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28140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DCCD50" w14:textId="64D5D6CE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524497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4BD4FF9" w14:textId="7A9E9491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64C0" w14:paraId="63E940B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6AFB147" w14:textId="298CCCE7" w:rsidR="005564C0" w:rsidRPr="00943AB9" w:rsidRDefault="005564C0" w:rsidP="005564C0">
            <w:pPr>
              <w:jc w:val="center"/>
            </w:pPr>
            <w: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D30D27F" w14:textId="060E2C69" w:rsidR="005564C0" w:rsidRPr="00943AB9" w:rsidRDefault="005564C0" w:rsidP="005564C0">
            <w:r w:rsidRPr="008503BA">
              <w:t>No more than 25 gallons of flammable liquids are stored in a room outside of an approved storage cabinet. [1926.152(b)(1)]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36259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084CF2" w14:textId="1CC97929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057415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7CAE97" w14:textId="7839DDC7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380345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42A60E" w14:textId="5EFE0ADC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64C0" w14:paraId="282548A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83DAEEE" w14:textId="4CA4D1DF" w:rsidR="005564C0" w:rsidRPr="00943AB9" w:rsidRDefault="005564C0" w:rsidP="005564C0">
            <w:pPr>
              <w:jc w:val="center"/>
            </w:pPr>
            <w: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16C9D15" w14:textId="41CD3AFD" w:rsidR="005564C0" w:rsidRPr="00943AB9" w:rsidRDefault="005564C0" w:rsidP="005564C0">
            <w:r w:rsidRPr="008F67AB">
              <w:t>Quantities of flammable liquids greater than 25 gallons are stored in an acceptable or approved cabinet meeting the requirements of OSHA Standard 1926.152(b).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47923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D2E016" w14:textId="6B9C0043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16336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EB5AF9" w14:textId="5AC30D3D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797054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20DD806" w14:textId="07DFC397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64C0" w14:paraId="0DC3937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9412E5" w14:textId="271663D9" w:rsidR="005564C0" w:rsidRPr="00943AB9" w:rsidRDefault="005564C0" w:rsidP="005564C0">
            <w:pPr>
              <w:jc w:val="center"/>
            </w:pPr>
            <w: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A5AFA2" w14:textId="2F07FB9D" w:rsidR="005564C0" w:rsidRPr="00943AB9" w:rsidRDefault="005564C0" w:rsidP="005564C0">
            <w:r w:rsidRPr="009761C8">
              <w:t>Cabinets storing flammable liquids are labeled "Flammable-Keep Away from Open Flames." [1926.152(b)(2)(iii)]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496005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4FCEE4" w14:textId="1459D778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620616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C0D02E" w14:textId="55ABD8C1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10127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FF35E6" w14:textId="3CA74CDD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564C0" w14:paraId="5EE2DD8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07CC625" w14:textId="47D6A079" w:rsidR="005564C0" w:rsidRPr="00943AB9" w:rsidRDefault="005564C0" w:rsidP="005564C0">
            <w:pPr>
              <w:jc w:val="center"/>
            </w:pPr>
            <w: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CA3981" w14:textId="22F83906" w:rsidR="005564C0" w:rsidRPr="00943AB9" w:rsidRDefault="005564C0" w:rsidP="005564C0">
            <w:r w:rsidRPr="00F43B95">
              <w:t>Flammable liquids stored outside in containers or tanks are at least 20 feet away from any building. [1926.152(c)]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565297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0CEF52" w14:textId="6D940709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115433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45CE05" w14:textId="62DED8B5" w:rsidR="005564C0" w:rsidRDefault="005564C0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90828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1FD5642" w14:textId="4457DB67" w:rsidR="005564C0" w:rsidRDefault="003B54F9" w:rsidP="005564C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464A7DA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F6D3167" w14:textId="7AB418AA" w:rsidR="003B54F9" w:rsidRPr="00943AB9" w:rsidRDefault="00AC194F" w:rsidP="003B54F9">
            <w:pPr>
              <w:jc w:val="center"/>
            </w:pPr>
            <w: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0D2F5C" w14:textId="48CE3E31" w:rsidR="003B54F9" w:rsidRPr="00943AB9" w:rsidRDefault="003B54F9" w:rsidP="003B54F9">
            <w:r w:rsidRPr="00053D98">
              <w:t>Outdoor storage areas for flammable liquids are kept free of weeds, debris, and other combustible material. [1926.152(c)(5)]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055765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DEA879" w14:textId="15C83EA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226865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F211CE" w14:textId="3E17831A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232151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A20299" w14:textId="270D4367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3C37A66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54FFB12" w14:textId="5DB0C743" w:rsidR="003B54F9" w:rsidRPr="00943AB9" w:rsidRDefault="00AC194F" w:rsidP="003B54F9">
            <w:pPr>
              <w:jc w:val="center"/>
            </w:pPr>
            <w: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85FD167" w14:textId="603D4F06" w:rsidR="003B54F9" w:rsidRPr="00943AB9" w:rsidRDefault="003B54F9" w:rsidP="003B54F9">
            <w:r w:rsidRPr="00C65DA5">
              <w:t>At least one portable fire extinguisher, rated at least 20-B, is located outside of, but not more than 10 feet from, the door opening into any room used for storage of more than 60 gallons of flammable liquids. [1926.152(d)(1)]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3787548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F163E4" w14:textId="5599405B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238786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91E4E3" w14:textId="7346D61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61106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106C81C" w14:textId="7F8F69C5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3134910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854706E" w14:textId="675ACCD5" w:rsidR="003B54F9" w:rsidRPr="00943AB9" w:rsidRDefault="00AC194F" w:rsidP="003B54F9">
            <w:pPr>
              <w:jc w:val="center"/>
            </w:pPr>
            <w:r>
              <w:t>31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A69EEA6" w14:textId="6A1B6127" w:rsidR="003B54F9" w:rsidRPr="00943AB9" w:rsidRDefault="003B54F9" w:rsidP="003B54F9">
            <w:r w:rsidRPr="00EA7DCB">
              <w:t>At least one portable fire extinguisher, rated at least 20-B, is located between 25 – 75 feet from any flammable liquid storage area located outside. [1926.152(d)(2)]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121478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F5231B" w14:textId="0C2F90A3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5470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50A39E" w14:textId="17CC7710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778211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7A1B1F4" w14:textId="1A005CFC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26052DE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5ED41A" w14:textId="56F39F06" w:rsidR="003B54F9" w:rsidRPr="00943AB9" w:rsidRDefault="00AC194F" w:rsidP="003B54F9">
            <w:pPr>
              <w:jc w:val="center"/>
            </w:pPr>
            <w:r>
              <w:t>32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DFB89E4" w14:textId="7459A9B9" w:rsidR="003B54F9" w:rsidRPr="00943AB9" w:rsidRDefault="003B54F9" w:rsidP="003B54F9">
            <w:r w:rsidRPr="00F24E58">
              <w:t>At least one portable fire extinguisher rated at least 20-B:C is provided on all tank trucks or other vehicles used for transporting and/or dispensing flammable liquids. [1926.152(d)(4)]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4014913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5E5BC42" w14:textId="74BBEA88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72179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73F971" w14:textId="68216315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700138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13554DA" w14:textId="63E30A3F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54FF20B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B9CC91A" w14:textId="36FEE99C" w:rsidR="003B54F9" w:rsidRPr="00943AB9" w:rsidRDefault="00AC194F" w:rsidP="003B54F9">
            <w:pPr>
              <w:jc w:val="center"/>
            </w:pPr>
            <w:r>
              <w:lastRenderedPageBreak/>
              <w:t>33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8DBA856" w14:textId="7F71503B" w:rsidR="003B54F9" w:rsidRPr="00943AB9" w:rsidRDefault="003B54F9" w:rsidP="003B54F9">
            <w:r w:rsidRPr="00FB3B86">
              <w:t>Smoking and open flames are prohibited in areas used for fueling, servicing fuel systems, and receiving or dispensing flammable liquids</w:t>
            </w:r>
            <w:r w:rsidR="006478D4">
              <w:t>. NO SMOKING signs are posted</w:t>
            </w:r>
            <w:r w:rsidRPr="00FB3B86">
              <w:t>. [1926.152(g</w:t>
            </w:r>
            <w:proofErr w:type="gramStart"/>
            <w:r w:rsidRPr="00FB3B86">
              <w:t>)(</w:t>
            </w:r>
            <w:proofErr w:type="gramEnd"/>
            <w:r w:rsidRPr="00FB3B86">
              <w:t>8-9)]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579977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D5C66E" w14:textId="103C23EA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46651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2A45F8" w14:textId="6E3A89A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21215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CB3D66" w14:textId="56BF5D46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56F783B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B428A4" w14:textId="62E76CD3" w:rsidR="003B54F9" w:rsidRPr="00943AB9" w:rsidRDefault="00AC194F" w:rsidP="003B54F9">
            <w:pPr>
              <w:jc w:val="center"/>
            </w:pPr>
            <w:r>
              <w:t>34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787FE7B" w14:textId="3EFF9881" w:rsidR="003B54F9" w:rsidRPr="00943AB9" w:rsidRDefault="003B54F9" w:rsidP="003B54F9">
            <w:r w:rsidRPr="00E44E8D">
              <w:t>The motor of any equipment being fueled is shut off during the fueling operation. [1926.152(g)(10)]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117853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3AABE6" w14:textId="1A90854B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864110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E149A8" w14:textId="35563C5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174211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DD3873A" w14:textId="48553131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4B1CC15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3C136F3" w14:textId="6C2333AA" w:rsidR="003B54F9" w:rsidRPr="00943AB9" w:rsidRDefault="00AC194F" w:rsidP="003B54F9">
            <w:pPr>
              <w:jc w:val="center"/>
            </w:pPr>
            <w:r>
              <w:t>35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65CAD0" w14:textId="38B69A1C" w:rsidR="003B54F9" w:rsidRPr="00943AB9" w:rsidRDefault="003B54F9" w:rsidP="003B54F9">
            <w:r w:rsidRPr="005564C0">
              <w:t>Each service or fueling area has at least one fire extinguisher rated at least 20-B:C within 75 feet of each pump, dispenser, underground fill pipe opening, and lubrication or service area. [1926.152(g)(11)]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839530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2272CB" w14:textId="74F8B68B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247953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9A9882" w14:textId="047FEE8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916993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D98700" w14:textId="3AED960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4A161DEB" w14:textId="77777777" w:rsidTr="006C792B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3518988" w14:textId="7850E792" w:rsidR="003B54F9" w:rsidRDefault="003B54F9" w:rsidP="003B54F9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LIQUIFIED PETROLEUM GAS (LPG)</w:t>
            </w:r>
          </w:p>
        </w:tc>
      </w:tr>
      <w:tr w:rsidR="003B54F9" w14:paraId="026E514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1007B91" w14:textId="425B7824" w:rsidR="003B54F9" w:rsidRPr="00943AB9" w:rsidRDefault="00AC194F" w:rsidP="003B54F9">
            <w:pPr>
              <w:jc w:val="center"/>
            </w:pPr>
            <w:r>
              <w:t>36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A912120" w14:textId="65C34469" w:rsidR="003B54F9" w:rsidRPr="00943AB9" w:rsidRDefault="003B54F9" w:rsidP="003B54F9">
            <w:r w:rsidRPr="006E6E6D">
              <w:t>Welding on LPG containers is prohibited. [1926.153(b)]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39007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B08BFC" w14:textId="7989B856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088560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F73334" w14:textId="3371A14C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89418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5741C4B" w14:textId="2945A35F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35B9392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FE5165D" w14:textId="1E831299" w:rsidR="003B54F9" w:rsidRPr="00943AB9" w:rsidRDefault="00AC194F" w:rsidP="003B54F9">
            <w:pPr>
              <w:jc w:val="center"/>
            </w:pPr>
            <w:r>
              <w:t>37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97ABFA" w14:textId="36ADE532" w:rsidR="003B54F9" w:rsidRPr="00943AB9" w:rsidRDefault="003B54F9" w:rsidP="003B54F9">
            <w:r w:rsidRPr="007F32AD">
              <w:t>LPG container safety relief devices and regulator relief vents are not located less than 5 feet in any direction from air openings into sealed combustion system appliances or mechanical ventilation air intakes. [1926.153(d)(3)]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97627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AD6684" w14:textId="7D0A986E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661345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42C7D8" w14:textId="1A86A4F5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67228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EF986E8" w14:textId="3A72FB2F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3822D67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5DC046" w14:textId="6F8E12B3" w:rsidR="003B54F9" w:rsidRPr="00943AB9" w:rsidRDefault="00AC194F" w:rsidP="003B54F9">
            <w:pPr>
              <w:jc w:val="center"/>
            </w:pPr>
            <w:r>
              <w:t>38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A5F746" w14:textId="0353BF76" w:rsidR="003B54F9" w:rsidRPr="00943AB9" w:rsidRDefault="003B54F9" w:rsidP="003B54F9">
            <w:r w:rsidRPr="00D271DE">
              <w:t>LPG containers are not stored indoors. [1926.153(j)]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314083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0C1AF6" w14:textId="622D35A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396276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7323BD" w14:textId="7B6F64C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6494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2ED15D" w14:textId="7B796FAB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1755A1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A4BC6A6" w14:textId="7E9A7E3F" w:rsidR="003B54F9" w:rsidRPr="00943AB9" w:rsidRDefault="00AC194F" w:rsidP="003B54F9">
            <w:pPr>
              <w:jc w:val="center"/>
            </w:pPr>
            <w:r>
              <w:t>39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810AAD8" w14:textId="7BB94943" w:rsidR="003B54F9" w:rsidRPr="00943AB9" w:rsidRDefault="003B54F9" w:rsidP="003B54F9">
            <w:r w:rsidRPr="005F77EA">
              <w:t>LPG containers are stored outside in a suitable ventilated enclosure that is protected against tampering. [1926.153(k)(2)]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627436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276E074" w14:textId="0054D21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796519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8DC6FD" w14:textId="510BBBB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257803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17B3B3" w14:textId="4A2CC6F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571AD1A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2539228" w14:textId="0CE7E7B4" w:rsidR="003B54F9" w:rsidRPr="00943AB9" w:rsidRDefault="00AC194F" w:rsidP="003B54F9">
            <w:pPr>
              <w:jc w:val="center"/>
            </w:pPr>
            <w:r>
              <w:t>40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B1AE4EC" w14:textId="20DDE243" w:rsidR="003B54F9" w:rsidRPr="00943AB9" w:rsidRDefault="003B54F9" w:rsidP="003B54F9">
            <w:r w:rsidRPr="00FC7C63">
              <w:t>LPG container storage locations have at least one approved portable fire extinguisher having a rating that is at least 20-</w:t>
            </w:r>
            <w:proofErr w:type="gramStart"/>
            <w:r w:rsidRPr="00FC7C63">
              <w:t>B:C.</w:t>
            </w:r>
            <w:proofErr w:type="gramEnd"/>
            <w:r w:rsidRPr="00FC7C63">
              <w:t xml:space="preserve"> [1926.153(l)]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660734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CCE3C9" w14:textId="19BF3B99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520367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4B7CBF" w14:textId="585E2B08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274931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D866C" w14:textId="2FA5B291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7B925B0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9C583D" w14:textId="6EA465AE" w:rsidR="003B54F9" w:rsidRPr="00943AB9" w:rsidRDefault="00AC194F" w:rsidP="003B54F9">
            <w:pPr>
              <w:jc w:val="center"/>
            </w:pPr>
            <w:r>
              <w:t>41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FF20C08" w14:textId="6ADD6FB0" w:rsidR="003B54F9" w:rsidRPr="00943AB9" w:rsidRDefault="003B54F9" w:rsidP="003B54F9">
            <w:r w:rsidRPr="009711B7">
              <w:t>LPG containers and systems are protected against possible damage from vehicular traffic. [1926.153(o)]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55832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C449A6" w14:textId="30B61C6F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051199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4A4EBA" w14:textId="556D8C97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148107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BB254A" w14:textId="66B75485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1B05987F" w14:textId="77777777" w:rsidTr="00944BD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14B2635" w14:textId="3C450CA2" w:rsidR="003B54F9" w:rsidRDefault="003B54F9" w:rsidP="003B54F9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WELDING AND CUTTING</w:t>
            </w:r>
          </w:p>
        </w:tc>
      </w:tr>
      <w:tr w:rsidR="003B54F9" w14:paraId="0EED717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C975A3A" w14:textId="589CAC8C" w:rsidR="003B54F9" w:rsidRPr="00943AB9" w:rsidRDefault="00AC194F" w:rsidP="003B54F9">
            <w:pPr>
              <w:jc w:val="center"/>
            </w:pPr>
            <w:r>
              <w:t>42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56D26E1" w14:textId="775FE962" w:rsidR="003B54F9" w:rsidRPr="00943AB9" w:rsidRDefault="003B54F9" w:rsidP="003B54F9">
            <w:r w:rsidRPr="004829EE">
              <w:t>Objects to be welded, cut, or heated are moved to a designated location or movable fire hazards are taken to a safe place or otherwise protected. [1926.352(a)]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148319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796E58" w14:textId="30AAFB4C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74393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8AC8F6" w14:textId="2A77682E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09604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F4C5889" w14:textId="41E470D2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4828F52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BA23999" w14:textId="4541C3A2" w:rsidR="003B54F9" w:rsidRPr="00943AB9" w:rsidRDefault="00AC194F" w:rsidP="003B54F9">
            <w:pPr>
              <w:jc w:val="center"/>
            </w:pPr>
            <w:r>
              <w:t>43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98878D3" w14:textId="00AC9261" w:rsidR="003B54F9" w:rsidRPr="00943AB9" w:rsidRDefault="003B54F9" w:rsidP="003B54F9">
            <w:r w:rsidRPr="00730609">
              <w:t>When the object to be welded cannot be moved and fire hazards cannot be removed, shields are used to confine heat, sparks, and slag. [1926.352(b)]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709173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90131D" w14:textId="02F3160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201446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3A1EEC" w14:textId="42A0533F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79484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5C0FFFA" w14:textId="1BA66FC8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5B25640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AFED88" w14:textId="7D3ADEE4" w:rsidR="003B54F9" w:rsidRPr="00943AB9" w:rsidRDefault="00AC194F" w:rsidP="003B54F9">
            <w:pPr>
              <w:jc w:val="center"/>
            </w:pPr>
            <w:r>
              <w:lastRenderedPageBreak/>
              <w:t>44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3866AD" w14:textId="480FA725" w:rsidR="003B54F9" w:rsidRPr="00943AB9" w:rsidRDefault="003B54F9" w:rsidP="003B54F9">
            <w:r w:rsidRPr="00960C38">
              <w:t>Suitable fire-extinguishing equipment is available for immediate use near welding operations. [1926.352(d)]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579417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C7E6BF" w14:textId="200BE7C9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986421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2EBF670" w14:textId="03C7D7B9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277269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5A2AB6" w14:textId="24AB958C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0F6A457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89EADA6" w14:textId="0FB32E37" w:rsidR="003B54F9" w:rsidRPr="00943AB9" w:rsidRDefault="00AC194F" w:rsidP="003B54F9">
            <w:pPr>
              <w:jc w:val="center"/>
            </w:pPr>
            <w:r>
              <w:t>45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A787B17" w14:textId="224BA525" w:rsidR="003B54F9" w:rsidRPr="00943AB9" w:rsidRDefault="003B54F9" w:rsidP="003B54F9">
            <w:r w:rsidRPr="00B9230E">
              <w:t>Fire watchers are assigned during welding operations when normal fire prevention precautions may not be sufficient. [1926.352(e)]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5841105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170DA1" w14:textId="2A82C62C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008312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729F06" w14:textId="75F95089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354794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E4B723C" w14:textId="78938DB4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B54F9" w14:paraId="38C500C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8CB455E" w14:textId="36D3F6A7" w:rsidR="003B54F9" w:rsidRPr="00943AB9" w:rsidRDefault="00AC194F" w:rsidP="003B54F9">
            <w:pPr>
              <w:jc w:val="center"/>
            </w:pPr>
            <w:r>
              <w:t>46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930DB08" w14:textId="3037359C" w:rsidR="003B54F9" w:rsidRPr="00943AB9" w:rsidRDefault="003B54F9" w:rsidP="003B54F9">
            <w:r w:rsidRPr="000E497C">
              <w:t>Oxygen cylinders in storage are separated from fuel gas cylinders and combustible materials (especially oil and grease) by at least 20 feet, or by a non-combustible barrier at least 5 feet high, having a fire-resistance rating of at least 30 minutes. [1926.350(a)(10)]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7823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4FCD15" w14:textId="1A2AE5B6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914225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7B9AF0" w14:textId="7ABB2CEA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277222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F3A9C6" w14:textId="79B6F6E1" w:rsidR="003B54F9" w:rsidRDefault="003B54F9" w:rsidP="003B54F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E5C5A" w14:paraId="35D2F0B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58E6CFC" w14:textId="366E1D77" w:rsidR="003E5C5A" w:rsidRPr="00943AB9" w:rsidRDefault="00AC194F" w:rsidP="003E5C5A">
            <w:pPr>
              <w:jc w:val="center"/>
            </w:pPr>
            <w:r>
              <w:t>47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3F7F987" w14:textId="65EB6EF6" w:rsidR="003E5C5A" w:rsidRPr="00943AB9" w:rsidRDefault="003E5C5A" w:rsidP="003E5C5A">
            <w:r w:rsidRPr="00BA2D55">
              <w:t>Cylinders are kept at a safe distance from welding operations, or fire-resistant shields provided. [1926.350(b)(1)]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909300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2CA529" w14:textId="31E40B19" w:rsidR="003E5C5A" w:rsidRDefault="003E5C5A" w:rsidP="003E5C5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292334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C8C5C6" w14:textId="148A9B12" w:rsidR="003E5C5A" w:rsidRDefault="003E5C5A" w:rsidP="003E5C5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60573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581965" w14:textId="4FEACCBC" w:rsidR="003E5C5A" w:rsidRDefault="00DC1956" w:rsidP="003E5C5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C1956" w14:paraId="1C2BA5E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6B14D7" w14:textId="4EB8037B" w:rsidR="00DC1956" w:rsidRPr="00943AB9" w:rsidRDefault="00AC194F" w:rsidP="00DC1956">
            <w:pPr>
              <w:jc w:val="center"/>
            </w:pPr>
            <w:r>
              <w:t>48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E0B4AB4" w14:textId="0EB7F9E9" w:rsidR="00DC1956" w:rsidRPr="00943AB9" w:rsidRDefault="00DC1956" w:rsidP="00DC1956">
            <w:r w:rsidRPr="00655D20">
              <w:t>Flashback protection is provided by an approved device that will prevent flame from passing into fuel-gas systems.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778858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3DC9FD" w14:textId="5774C72D" w:rsidR="00DC1956" w:rsidRDefault="00DC1956" w:rsidP="00DC195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47352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7AA648" w14:textId="3609FBFD" w:rsidR="00DC1956" w:rsidRDefault="00DC1956" w:rsidP="00DC195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397202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749FAE9" w14:textId="3814EF4E" w:rsidR="00DC1956" w:rsidRDefault="00DC1956" w:rsidP="00DC1956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AC194F">
        <w:trPr>
          <w:trHeight w:val="4896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21B9BE23" w14:textId="26105650" w:rsidR="00C16FAA" w:rsidRDefault="00F115BB" w:rsidP="00C16FAA">
      <w:pPr>
        <w:spacing w:before="120"/>
        <w:jc w:val="center"/>
        <w:rPr>
          <w:i/>
          <w:iCs/>
          <w:sz w:val="13"/>
          <w:szCs w:val="13"/>
        </w:rPr>
      </w:pPr>
      <w:r w:rsidRPr="00F115BB">
        <w:rPr>
          <w:i/>
          <w:iCs/>
          <w:sz w:val="13"/>
          <w:szCs w:val="13"/>
        </w:rPr>
        <w:t>This checklist provides general safety guidelines and does not include all elements of OSHA Standard 1926 Subpart F for Construction Fire Protection and Prevention</w:t>
      </w:r>
      <w:r w:rsidR="00C16FAA">
        <w:rPr>
          <w:i/>
          <w:iCs/>
          <w:sz w:val="13"/>
          <w:szCs w:val="13"/>
        </w:rPr>
        <w:t>.</w:t>
      </w:r>
    </w:p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0EBF" w14:textId="77777777" w:rsidR="008E3106" w:rsidRDefault="008E3106" w:rsidP="00486691">
      <w:pPr>
        <w:spacing w:after="0" w:line="240" w:lineRule="auto"/>
      </w:pPr>
      <w:r>
        <w:separator/>
      </w:r>
    </w:p>
  </w:endnote>
  <w:endnote w:type="continuationSeparator" w:id="0">
    <w:p w14:paraId="4A9D4609" w14:textId="77777777" w:rsidR="008E3106" w:rsidRDefault="008E3106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7026" w14:textId="77777777" w:rsidR="008E3106" w:rsidRDefault="008E3106" w:rsidP="00486691">
      <w:pPr>
        <w:spacing w:after="0" w:line="240" w:lineRule="auto"/>
      </w:pPr>
      <w:r>
        <w:separator/>
      </w:r>
    </w:p>
  </w:footnote>
  <w:footnote w:type="continuationSeparator" w:id="0">
    <w:p w14:paraId="69A0FCCB" w14:textId="77777777" w:rsidR="008E3106" w:rsidRDefault="008E3106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6F7FF050" w:rsidR="00D33578" w:rsidRDefault="00DB332F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DB332F">
      <w:rPr>
        <w:rFonts w:ascii="Verdana" w:hAnsi="Verdana"/>
        <w:b/>
        <w:bCs/>
        <w:sz w:val="36"/>
        <w:szCs w:val="36"/>
      </w:rPr>
      <w:t>CONSTRUCTION FIRE PROTECTION AND PREVENTION</w:t>
    </w:r>
    <w:r>
      <w:rPr>
        <w:rFonts w:ascii="Verdana" w:hAnsi="Verdana"/>
        <w:b/>
        <w:bCs/>
        <w:sz w:val="36"/>
        <w:szCs w:val="36"/>
      </w:rPr>
      <w:t xml:space="preserve"> CHECKLIST</w:t>
    </w:r>
  </w:p>
  <w:p w14:paraId="37CCA1EB" w14:textId="77777777" w:rsidR="00DB332F" w:rsidRPr="0020701E" w:rsidRDefault="00DB332F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6A"/>
    <w:multiLevelType w:val="hybridMultilevel"/>
    <w:tmpl w:val="A3E4ECCA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7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1A28"/>
    <w:rsid w:val="00017256"/>
    <w:rsid w:val="00032A90"/>
    <w:rsid w:val="00053231"/>
    <w:rsid w:val="00053D98"/>
    <w:rsid w:val="00057A41"/>
    <w:rsid w:val="000641C3"/>
    <w:rsid w:val="00085A2E"/>
    <w:rsid w:val="00092DA9"/>
    <w:rsid w:val="0009410E"/>
    <w:rsid w:val="00094926"/>
    <w:rsid w:val="000E497C"/>
    <w:rsid w:val="000F46CE"/>
    <w:rsid w:val="001059F9"/>
    <w:rsid w:val="00112F2F"/>
    <w:rsid w:val="001346B8"/>
    <w:rsid w:val="001464AA"/>
    <w:rsid w:val="00147270"/>
    <w:rsid w:val="001856B7"/>
    <w:rsid w:val="001900BA"/>
    <w:rsid w:val="00194F99"/>
    <w:rsid w:val="001970D2"/>
    <w:rsid w:val="001A3256"/>
    <w:rsid w:val="001B3392"/>
    <w:rsid w:val="001C6A96"/>
    <w:rsid w:val="001C6CE5"/>
    <w:rsid w:val="001C777E"/>
    <w:rsid w:val="001D0979"/>
    <w:rsid w:val="001D6C42"/>
    <w:rsid w:val="001E4E5A"/>
    <w:rsid w:val="0020701E"/>
    <w:rsid w:val="00234533"/>
    <w:rsid w:val="00234E3B"/>
    <w:rsid w:val="00236FB4"/>
    <w:rsid w:val="00237A75"/>
    <w:rsid w:val="00240110"/>
    <w:rsid w:val="00266689"/>
    <w:rsid w:val="00282071"/>
    <w:rsid w:val="002902CF"/>
    <w:rsid w:val="002B1F6B"/>
    <w:rsid w:val="002F0E0B"/>
    <w:rsid w:val="002F247A"/>
    <w:rsid w:val="00320613"/>
    <w:rsid w:val="00324874"/>
    <w:rsid w:val="00327886"/>
    <w:rsid w:val="00355C6B"/>
    <w:rsid w:val="003577CF"/>
    <w:rsid w:val="003654A6"/>
    <w:rsid w:val="00386C9E"/>
    <w:rsid w:val="0039111F"/>
    <w:rsid w:val="003974FA"/>
    <w:rsid w:val="003A1358"/>
    <w:rsid w:val="003A5851"/>
    <w:rsid w:val="003A5D3A"/>
    <w:rsid w:val="003B1EEC"/>
    <w:rsid w:val="003B54F9"/>
    <w:rsid w:val="003C1453"/>
    <w:rsid w:val="003E016B"/>
    <w:rsid w:val="003E5C5A"/>
    <w:rsid w:val="004020F9"/>
    <w:rsid w:val="00406092"/>
    <w:rsid w:val="00410267"/>
    <w:rsid w:val="004146D2"/>
    <w:rsid w:val="00416384"/>
    <w:rsid w:val="00417687"/>
    <w:rsid w:val="004227EB"/>
    <w:rsid w:val="00424471"/>
    <w:rsid w:val="00452CB4"/>
    <w:rsid w:val="004537A2"/>
    <w:rsid w:val="00482768"/>
    <w:rsid w:val="004829EE"/>
    <w:rsid w:val="00486691"/>
    <w:rsid w:val="00493689"/>
    <w:rsid w:val="004939E5"/>
    <w:rsid w:val="004A00A2"/>
    <w:rsid w:val="004A10BD"/>
    <w:rsid w:val="004C6E4C"/>
    <w:rsid w:val="004D197B"/>
    <w:rsid w:val="004E0BA3"/>
    <w:rsid w:val="005030E1"/>
    <w:rsid w:val="00510FA8"/>
    <w:rsid w:val="00515382"/>
    <w:rsid w:val="00535BA2"/>
    <w:rsid w:val="00536AEB"/>
    <w:rsid w:val="00542E0D"/>
    <w:rsid w:val="00547D0D"/>
    <w:rsid w:val="005564C0"/>
    <w:rsid w:val="00581312"/>
    <w:rsid w:val="00585D51"/>
    <w:rsid w:val="005933B5"/>
    <w:rsid w:val="005B7203"/>
    <w:rsid w:val="005D7EEA"/>
    <w:rsid w:val="005F77EA"/>
    <w:rsid w:val="006018A6"/>
    <w:rsid w:val="00605355"/>
    <w:rsid w:val="006127DA"/>
    <w:rsid w:val="00621659"/>
    <w:rsid w:val="006478D4"/>
    <w:rsid w:val="006526CB"/>
    <w:rsid w:val="00655D20"/>
    <w:rsid w:val="00667221"/>
    <w:rsid w:val="0067355C"/>
    <w:rsid w:val="00677E6F"/>
    <w:rsid w:val="00691611"/>
    <w:rsid w:val="006A3EC8"/>
    <w:rsid w:val="006C2807"/>
    <w:rsid w:val="006C792B"/>
    <w:rsid w:val="006E3493"/>
    <w:rsid w:val="006E6E6D"/>
    <w:rsid w:val="006F0BDA"/>
    <w:rsid w:val="006F1348"/>
    <w:rsid w:val="00701B35"/>
    <w:rsid w:val="00707A06"/>
    <w:rsid w:val="00707FE5"/>
    <w:rsid w:val="00711224"/>
    <w:rsid w:val="007141C9"/>
    <w:rsid w:val="0071434E"/>
    <w:rsid w:val="007201B0"/>
    <w:rsid w:val="007254A1"/>
    <w:rsid w:val="0073021E"/>
    <w:rsid w:val="00730609"/>
    <w:rsid w:val="007401E3"/>
    <w:rsid w:val="007527B9"/>
    <w:rsid w:val="00771BCE"/>
    <w:rsid w:val="00781490"/>
    <w:rsid w:val="007922FA"/>
    <w:rsid w:val="007A323F"/>
    <w:rsid w:val="007A4256"/>
    <w:rsid w:val="007D3750"/>
    <w:rsid w:val="007D5730"/>
    <w:rsid w:val="007D6A2C"/>
    <w:rsid w:val="007F32AD"/>
    <w:rsid w:val="007F4515"/>
    <w:rsid w:val="007F5077"/>
    <w:rsid w:val="00800D4D"/>
    <w:rsid w:val="0080301B"/>
    <w:rsid w:val="0080301E"/>
    <w:rsid w:val="008046A2"/>
    <w:rsid w:val="00821CDD"/>
    <w:rsid w:val="00824B0E"/>
    <w:rsid w:val="00835BD1"/>
    <w:rsid w:val="00840156"/>
    <w:rsid w:val="008503BA"/>
    <w:rsid w:val="008549E8"/>
    <w:rsid w:val="0085759C"/>
    <w:rsid w:val="00861D9C"/>
    <w:rsid w:val="00864D35"/>
    <w:rsid w:val="0088693D"/>
    <w:rsid w:val="008B0205"/>
    <w:rsid w:val="008C3185"/>
    <w:rsid w:val="008C3FFE"/>
    <w:rsid w:val="008C4C1B"/>
    <w:rsid w:val="008D2548"/>
    <w:rsid w:val="008E3106"/>
    <w:rsid w:val="008F05CC"/>
    <w:rsid w:val="008F2E07"/>
    <w:rsid w:val="008F3159"/>
    <w:rsid w:val="008F67AB"/>
    <w:rsid w:val="00900E7F"/>
    <w:rsid w:val="00906FB5"/>
    <w:rsid w:val="00915D1F"/>
    <w:rsid w:val="00924FA0"/>
    <w:rsid w:val="00935716"/>
    <w:rsid w:val="00935AB7"/>
    <w:rsid w:val="00941ABD"/>
    <w:rsid w:val="00943AB9"/>
    <w:rsid w:val="00944BD2"/>
    <w:rsid w:val="00946D40"/>
    <w:rsid w:val="00955D84"/>
    <w:rsid w:val="00957FC4"/>
    <w:rsid w:val="00960C38"/>
    <w:rsid w:val="009711B7"/>
    <w:rsid w:val="00971B65"/>
    <w:rsid w:val="00972923"/>
    <w:rsid w:val="009761C8"/>
    <w:rsid w:val="009A624E"/>
    <w:rsid w:val="009B5724"/>
    <w:rsid w:val="009B6CC3"/>
    <w:rsid w:val="009C2D9E"/>
    <w:rsid w:val="009C7E51"/>
    <w:rsid w:val="009C7FBE"/>
    <w:rsid w:val="009D30E0"/>
    <w:rsid w:val="009D713A"/>
    <w:rsid w:val="009F565B"/>
    <w:rsid w:val="00A0381B"/>
    <w:rsid w:val="00A03EBA"/>
    <w:rsid w:val="00A264BC"/>
    <w:rsid w:val="00A31A3D"/>
    <w:rsid w:val="00A31FBA"/>
    <w:rsid w:val="00A3405C"/>
    <w:rsid w:val="00A44421"/>
    <w:rsid w:val="00A53D9B"/>
    <w:rsid w:val="00A96DF4"/>
    <w:rsid w:val="00AA487A"/>
    <w:rsid w:val="00AB3F41"/>
    <w:rsid w:val="00AC194F"/>
    <w:rsid w:val="00AE26A3"/>
    <w:rsid w:val="00B64D46"/>
    <w:rsid w:val="00B76424"/>
    <w:rsid w:val="00B829EA"/>
    <w:rsid w:val="00B847F6"/>
    <w:rsid w:val="00B86037"/>
    <w:rsid w:val="00B9230E"/>
    <w:rsid w:val="00BA2D55"/>
    <w:rsid w:val="00BD54D7"/>
    <w:rsid w:val="00BD63A6"/>
    <w:rsid w:val="00BE1124"/>
    <w:rsid w:val="00BE27B8"/>
    <w:rsid w:val="00BF262F"/>
    <w:rsid w:val="00C00079"/>
    <w:rsid w:val="00C039F8"/>
    <w:rsid w:val="00C11136"/>
    <w:rsid w:val="00C16FAA"/>
    <w:rsid w:val="00C2227C"/>
    <w:rsid w:val="00C22715"/>
    <w:rsid w:val="00C307BD"/>
    <w:rsid w:val="00C4392B"/>
    <w:rsid w:val="00C45D19"/>
    <w:rsid w:val="00C54E15"/>
    <w:rsid w:val="00C629CA"/>
    <w:rsid w:val="00C65DA5"/>
    <w:rsid w:val="00C716DB"/>
    <w:rsid w:val="00C7347C"/>
    <w:rsid w:val="00CB46F7"/>
    <w:rsid w:val="00CB5C04"/>
    <w:rsid w:val="00CC19D8"/>
    <w:rsid w:val="00CC28E5"/>
    <w:rsid w:val="00CD3F13"/>
    <w:rsid w:val="00CE44A1"/>
    <w:rsid w:val="00CF105C"/>
    <w:rsid w:val="00CF1187"/>
    <w:rsid w:val="00CF14B1"/>
    <w:rsid w:val="00D154E7"/>
    <w:rsid w:val="00D271DE"/>
    <w:rsid w:val="00D307E8"/>
    <w:rsid w:val="00D332D6"/>
    <w:rsid w:val="00D33578"/>
    <w:rsid w:val="00D35308"/>
    <w:rsid w:val="00D66F69"/>
    <w:rsid w:val="00D70982"/>
    <w:rsid w:val="00D71423"/>
    <w:rsid w:val="00D76A97"/>
    <w:rsid w:val="00D8580B"/>
    <w:rsid w:val="00D9489B"/>
    <w:rsid w:val="00DB1138"/>
    <w:rsid w:val="00DB332F"/>
    <w:rsid w:val="00DC1956"/>
    <w:rsid w:val="00DE4CE3"/>
    <w:rsid w:val="00DE53CB"/>
    <w:rsid w:val="00DF0769"/>
    <w:rsid w:val="00E0196B"/>
    <w:rsid w:val="00E44E8D"/>
    <w:rsid w:val="00E538D1"/>
    <w:rsid w:val="00E80F90"/>
    <w:rsid w:val="00EA7DCB"/>
    <w:rsid w:val="00EB0107"/>
    <w:rsid w:val="00EC5088"/>
    <w:rsid w:val="00EE1A40"/>
    <w:rsid w:val="00EF6B6A"/>
    <w:rsid w:val="00F115BB"/>
    <w:rsid w:val="00F2006F"/>
    <w:rsid w:val="00F24E58"/>
    <w:rsid w:val="00F264EE"/>
    <w:rsid w:val="00F42470"/>
    <w:rsid w:val="00F43B95"/>
    <w:rsid w:val="00F45003"/>
    <w:rsid w:val="00F46334"/>
    <w:rsid w:val="00F60FE9"/>
    <w:rsid w:val="00F61FDA"/>
    <w:rsid w:val="00F71AFE"/>
    <w:rsid w:val="00F729D9"/>
    <w:rsid w:val="00F829D0"/>
    <w:rsid w:val="00FB3B86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7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2022-08-04T15:05:00Z</dcterms:modified>
</cp:coreProperties>
</file>