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636C15">
            <w:pPr>
              <w:spacing w:line="216" w:lineRule="auto"/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67D67AE9" w:rsidR="00C7347C" w:rsidRPr="00943AB9" w:rsidRDefault="00BA4AF7" w:rsidP="00636C15">
            <w:pPr>
              <w:spacing w:line="216" w:lineRule="auto"/>
            </w:pPr>
            <w:r w:rsidRPr="00BA4AF7">
              <w:t>All work areas, including walkways, storerooms, service room, and walking-working surfaces, are clean, orderly, and sanitary. [1910.22(a)(1)]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71434E" w:rsidRDefault="009441B2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39AE4903" w:rsidR="00C7347C" w:rsidRPr="0071434E" w:rsidRDefault="00A65BA5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74A22B6" w:rsidR="00C7347C" w:rsidRPr="00943AB9" w:rsidRDefault="003D66D3" w:rsidP="00636C1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35F95389" w:rsidR="00C7347C" w:rsidRPr="00943AB9" w:rsidRDefault="00B51AE7" w:rsidP="00636C15">
            <w:pPr>
              <w:spacing w:line="216" w:lineRule="auto"/>
            </w:pPr>
            <w:r w:rsidRPr="00B51AE7">
              <w:t>Floors are kept in a dry condition. Where wet processes are used, drainage is maintained and false floors, platforms, mats, or other dry standing places are provided, where practicable, or workers use appropriate waterproof footwear. [1910.141(a)(3)(ii)]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22227F5A" w:rsidR="00C7347C" w:rsidRPr="00943AB9" w:rsidRDefault="003D66D3" w:rsidP="00636C1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3CCD1094" w:rsidR="00C7347C" w:rsidRPr="00943AB9" w:rsidRDefault="00573087" w:rsidP="00636C15">
            <w:pPr>
              <w:spacing w:line="216" w:lineRule="auto"/>
            </w:pPr>
            <w:r w:rsidRPr="00573087">
              <w:t>Walking-working surfaces, including stairways, do not have hazards like sharp or protruding objects, loose boards, corrosion, leaks, spills, snow, or ice. [1910.22(a)(3)]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207C745E" w:rsidR="001B3392" w:rsidRPr="00943AB9" w:rsidRDefault="003D66D3" w:rsidP="00636C15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17C71D28" w:rsidR="001B3392" w:rsidRPr="00943AB9" w:rsidRDefault="008E1890" w:rsidP="00636C15">
            <w:pPr>
              <w:spacing w:line="216" w:lineRule="auto"/>
            </w:pPr>
            <w:r w:rsidRPr="008E1890">
              <w:t xml:space="preserve">To facilitate cleaning, walking-working surfaces do </w:t>
            </w:r>
            <w:r w:rsidR="00E3440F">
              <w:t xml:space="preserve">not </w:t>
            </w:r>
            <w:r w:rsidRPr="008E1890">
              <w:t>have loose boards, splinters, protruding nails, or any unnecessary holes or openings. [1910.141(a)(3)(iii)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6188F75D" w:rsidR="00D8580B" w:rsidRPr="00943AB9" w:rsidRDefault="003D66D3" w:rsidP="00636C15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2A059B91" w:rsidR="00D8580B" w:rsidRPr="00943AB9" w:rsidRDefault="00BE6851" w:rsidP="00636C15">
            <w:pPr>
              <w:spacing w:line="216" w:lineRule="auto"/>
            </w:pPr>
            <w:r w:rsidRPr="00BE6851">
              <w:t>Walking-working surfaces are regularly inspected and maintained in a safe condition. [1910.22(d)(1)]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0A9FBB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CB4149" w14:textId="5E8693FC" w:rsidR="003D66D3" w:rsidRPr="00943AB9" w:rsidRDefault="003D66D3" w:rsidP="003D66D3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9944378" w14:textId="2DAFD602" w:rsidR="003D66D3" w:rsidRPr="00943AB9" w:rsidRDefault="003D66D3" w:rsidP="003D66D3">
            <w:pPr>
              <w:spacing w:line="216" w:lineRule="auto"/>
            </w:pPr>
            <w:r w:rsidRPr="00E27458">
              <w:t>All walking-working areas are adequately illuminated.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019974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ED240A" w14:textId="227B6794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903268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F8C7E7C" w14:textId="73415DB2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069212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DD0F46" w14:textId="2DB47A10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37E1F03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070E384" w14:textId="6BE80548" w:rsidR="003D66D3" w:rsidRPr="00943AB9" w:rsidRDefault="003D66D3" w:rsidP="003D66D3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5D540E1" w14:textId="436A1A5C" w:rsidR="003D66D3" w:rsidRPr="00943AB9" w:rsidRDefault="003D66D3" w:rsidP="003D66D3">
            <w:pPr>
              <w:spacing w:line="216" w:lineRule="auto"/>
            </w:pPr>
            <w:r w:rsidRPr="0034693A">
              <w:t>Hazardous conditions on walking-working surfaces are corrected immediately or barricaded to prevent use until repaired. [1910.22(d)(2)]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234251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26D061" w14:textId="43A35058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191402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14EE81" w14:textId="6B4E1EAD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53401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0EBFD4" w14:textId="2EFBC377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06562CB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E249E9" w14:textId="3F1F9A16" w:rsidR="003D66D3" w:rsidRPr="00943AB9" w:rsidRDefault="003D66D3" w:rsidP="003D66D3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93A4631" w14:textId="26CFD19D" w:rsidR="003D66D3" w:rsidRPr="00943AB9" w:rsidRDefault="003D66D3" w:rsidP="003D66D3">
            <w:pPr>
              <w:spacing w:line="216" w:lineRule="auto"/>
            </w:pPr>
            <w:r w:rsidRPr="000B5D15">
              <w:t>Trash receptacles do not leak, are able to be thoroughly cleaned, and are maintained in a sanitary condition. [1910.141(a)(4)(i)]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6624464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A37169" w14:textId="7058C8F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326549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842980B" w14:textId="192344B7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354158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DCFC219" w14:textId="790FD9F3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7930703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218D66E" w14:textId="3A670C71" w:rsidR="003D66D3" w:rsidRPr="00943AB9" w:rsidRDefault="003D66D3" w:rsidP="003D66D3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E6EC52" w14:textId="1180A1B6" w:rsidR="003D66D3" w:rsidRPr="00943AB9" w:rsidRDefault="003D66D3" w:rsidP="003D66D3">
            <w:pPr>
              <w:spacing w:line="216" w:lineRule="auto"/>
            </w:pPr>
            <w:r w:rsidRPr="006735D5">
              <w:t>Enclosed workplaces are maintained to keep out rodents, insects, and other vermin. [1910.141(a)(5)]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970392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04AC4C" w14:textId="000B3BAD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734665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52BFC3" w14:textId="49FD0FC6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768798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936FAE" w14:textId="0C52F40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55A92D8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E3B9E3" w14:textId="447AA4BB" w:rsidR="003D66D3" w:rsidRPr="00943AB9" w:rsidRDefault="003D66D3" w:rsidP="003D66D3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5EF421" w14:textId="6A519DFC" w:rsidR="003D66D3" w:rsidRPr="00943AB9" w:rsidRDefault="003D66D3" w:rsidP="003D66D3">
            <w:pPr>
              <w:spacing w:line="216" w:lineRule="auto"/>
            </w:pPr>
            <w:r w:rsidRPr="00F852E7">
              <w:t>If rodents, insects, or pests are found in the work area, a continuing and effective extermination program is initiated. [1910.141(a)(5)]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690550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8C89ECE" w14:textId="0D348CEF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502895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8138C0" w14:textId="340F548A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34725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F6AF797" w14:textId="4B2AEFF3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708D803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9E15CB" w14:textId="36B59682" w:rsidR="003D66D3" w:rsidRPr="00943AB9" w:rsidRDefault="003D66D3" w:rsidP="003D66D3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DB6E263" w14:textId="1E39C1D4" w:rsidR="003D66D3" w:rsidRPr="00943AB9" w:rsidRDefault="003D66D3" w:rsidP="003D66D3">
            <w:pPr>
              <w:spacing w:line="216" w:lineRule="auto"/>
            </w:pPr>
            <w:r w:rsidRPr="006E4172">
              <w:t>An adequate supply of potable water is provided throughout the work facility. [1910.141(b)(1)(i)]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959523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17E167" w14:textId="40EDF941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103941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2F2CEB" w14:textId="04801273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474251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BDB20FF" w14:textId="40508577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5C69E42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F0F69AD" w14:textId="2C985492" w:rsidR="003D66D3" w:rsidRPr="00943AB9" w:rsidRDefault="003D66D3" w:rsidP="003D66D3">
            <w:pPr>
              <w:spacing w:line="216" w:lineRule="auto"/>
              <w:jc w:val="center"/>
            </w:pPr>
            <w:r>
              <w:lastRenderedPageBreak/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D55B80F" w14:textId="7539EEE7" w:rsidR="003D66D3" w:rsidRPr="00943AB9" w:rsidRDefault="003D66D3" w:rsidP="003D66D3">
            <w:pPr>
              <w:spacing w:line="216" w:lineRule="auto"/>
            </w:pPr>
            <w:r w:rsidRPr="003D77A2">
              <w:t>Portable drinking water dispensers are kept clean. [1910.141(b)(1)(iii)]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594263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8309B7" w14:textId="7D37011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577194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188B66" w14:textId="4232626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30421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AA87A54" w14:textId="21F67538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1AF44DC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E678CA" w14:textId="41E3E7FB" w:rsidR="003D66D3" w:rsidRPr="00943AB9" w:rsidRDefault="003D66D3" w:rsidP="003D66D3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EB4D832" w14:textId="534E4F6D" w:rsidR="003D66D3" w:rsidRPr="00943AB9" w:rsidRDefault="003D66D3" w:rsidP="003D66D3">
            <w:pPr>
              <w:spacing w:line="216" w:lineRule="auto"/>
            </w:pPr>
            <w:r w:rsidRPr="001A3FA2">
              <w:t>Adequate bathroom facilities (including toilets and sinks) are provided, and they are clean and sanitary. [1910.141(c)(1)]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609256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D69E8D" w14:textId="57FB1340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48943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8D5D64" w14:textId="561E72FD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951191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449AD3" w14:textId="692E2D99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612C2C5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BA25377" w14:textId="52D2B778" w:rsidR="003D66D3" w:rsidRPr="00943AB9" w:rsidRDefault="003D66D3" w:rsidP="003D66D3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D68F611" w14:textId="7B015D1A" w:rsidR="003D66D3" w:rsidRPr="00943AB9" w:rsidRDefault="003D66D3" w:rsidP="003D66D3">
            <w:pPr>
              <w:spacing w:line="216" w:lineRule="auto"/>
            </w:pPr>
            <w:r w:rsidRPr="00230D6B">
              <w:t>Hand soap is provided in the employee bathrooms. [1910.141(d)(2)(ii)]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518435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B4AB23" w14:textId="03869214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527884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164A0F" w14:textId="5C9EAE21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288483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6241450" w14:textId="4E8B0FEA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042C7A4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7BDD33" w14:textId="2AE8BF15" w:rsidR="003D66D3" w:rsidRPr="00943AB9" w:rsidRDefault="003D66D3" w:rsidP="003D66D3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FE1BD2D" w14:textId="47C745B8" w:rsidR="003D66D3" w:rsidRPr="00943AB9" w:rsidRDefault="003D66D3" w:rsidP="003D66D3">
            <w:pPr>
              <w:spacing w:line="216" w:lineRule="auto"/>
            </w:pPr>
            <w:r w:rsidRPr="00923B92">
              <w:t>Paper towels, cloth towels, or air blowers are provided in the employee bathrooms. [1910.141(d)(2)(iv)]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587233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234468" w14:textId="395CE453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558615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E043A8D" w14:textId="3BB01E97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425863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346F4DB" w14:textId="6E9269E8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6FB10DD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5B1AE5A" w14:textId="55FF6D79" w:rsidR="003D66D3" w:rsidRPr="00943AB9" w:rsidRDefault="003D66D3" w:rsidP="003D66D3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C7A9B39" w14:textId="21C6EBF4" w:rsidR="003D66D3" w:rsidRPr="00943AB9" w:rsidRDefault="003D66D3" w:rsidP="003D66D3">
            <w:pPr>
              <w:spacing w:line="216" w:lineRule="auto"/>
            </w:pPr>
            <w:r w:rsidRPr="00435087">
              <w:t>Workers do not eat, drink, or store any food or beverages in any areas where hazardous substances or toxic materials are present. [1910.141(g)]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708353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A19C18" w14:textId="2ADD6296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137659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0EE1C03" w14:textId="0A1BD9C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6886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B56A04" w14:textId="697F67FC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4E1A83E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0C98810" w14:textId="7B88DE35" w:rsidR="003D66D3" w:rsidRPr="00943AB9" w:rsidRDefault="003D66D3" w:rsidP="003D66D3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E75ADB9" w14:textId="60CC23D4" w:rsidR="003D66D3" w:rsidRPr="00943AB9" w:rsidRDefault="003D66D3" w:rsidP="003D66D3">
            <w:pPr>
              <w:spacing w:line="216" w:lineRule="auto"/>
            </w:pPr>
            <w:r w:rsidRPr="00BA663B">
              <w:t>In areas where employees are permitted to eat or drink, waste bins are provided, emptied at least once every working day, and maintained in a sanitary condition. [1910.141(g)(3)]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091965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9658DD" w14:textId="27EB79D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733821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DBFB23" w14:textId="0FAE8F04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814583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73E5A4A" w14:textId="36B158B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3D4EE5D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C6FBCD5" w14:textId="3A15B2AA" w:rsidR="003D66D3" w:rsidRPr="00943AB9" w:rsidRDefault="003D66D3" w:rsidP="003D66D3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5AC1530" w14:textId="3F6DC2EF" w:rsidR="003D66D3" w:rsidRPr="00943AB9" w:rsidRDefault="003D66D3" w:rsidP="003D66D3">
            <w:pPr>
              <w:spacing w:line="216" w:lineRule="auto"/>
            </w:pPr>
            <w:r w:rsidRPr="00D508A2">
              <w:t>Storage areas do not create additional hazards and materials are secured in a way to ensure that they won’t slide or collapse. [1910.176(b)]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536227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B5BC29" w14:textId="7B1987FA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021657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005620" w14:textId="1D827D28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626810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FF4CC50" w14:textId="32081A69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612C2B6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BCCE164" w14:textId="15F446D6" w:rsidR="003D66D3" w:rsidRPr="00943AB9" w:rsidRDefault="003D66D3" w:rsidP="003D66D3">
            <w:pPr>
              <w:spacing w:line="216" w:lineRule="auto"/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DEFA6F3" w14:textId="24D0C33F" w:rsidR="003D66D3" w:rsidRPr="00943AB9" w:rsidRDefault="003D66D3" w:rsidP="003D66D3">
            <w:pPr>
              <w:spacing w:line="216" w:lineRule="auto"/>
            </w:pPr>
            <w:r w:rsidRPr="001F31DA">
              <w:t>Storage areas are maintained to ensure there are no tripping, fire, explosion, or pest hazards. [1910.176(c)]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71918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E48839" w14:textId="18FE7882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850892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4AEBA5" w14:textId="7561D34A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515383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C3ED2DD" w14:textId="44F3A356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10646E6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288AEFA" w14:textId="6CF609B0" w:rsidR="003D66D3" w:rsidRPr="00943AB9" w:rsidRDefault="003D66D3" w:rsidP="003D66D3">
            <w:pPr>
              <w:spacing w:line="216" w:lineRule="auto"/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0AD7D11" w14:textId="11313E7D" w:rsidR="003D66D3" w:rsidRPr="00943AB9" w:rsidRDefault="003D66D3" w:rsidP="003D66D3">
            <w:pPr>
              <w:spacing w:line="216" w:lineRule="auto"/>
            </w:pPr>
            <w:r w:rsidRPr="000D5930">
              <w:t>Combustible scrap, debris, and waste materials (oily rags, etc.) are kept to a minimum, stored in covered metal receptacles, and disposed of daily. [1910.106(e)(9)(iii)]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76968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A3E39E" w14:textId="28D7CF40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2385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601A8F" w14:textId="7A368956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594925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DE7CB06" w14:textId="193FA633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47C0D31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BE2DA6" w14:textId="36A947E6" w:rsidR="003D66D3" w:rsidRPr="00943AB9" w:rsidRDefault="003D66D3" w:rsidP="003D66D3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3EA0641" w14:textId="363B20A5" w:rsidR="003D66D3" w:rsidRPr="00943AB9" w:rsidRDefault="003D66D3" w:rsidP="003D66D3">
            <w:pPr>
              <w:spacing w:line="216" w:lineRule="auto"/>
            </w:pPr>
            <w:r w:rsidRPr="00682165">
              <w:t>While cleaning, if combustible dust is a potential hazard, vacuuming and non-vigorous sweeping are used in place of blowing down with compressed air.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878271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FEDA5B" w14:textId="3944129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340309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0BC0E2" w14:textId="038A8C3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992704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F36043" w14:textId="7532E862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57F11AC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C59595D" w14:textId="5D8F4CE8" w:rsidR="003D66D3" w:rsidRPr="00943AB9" w:rsidRDefault="003D66D3" w:rsidP="003D66D3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AC63315" w14:textId="5C6A4008" w:rsidR="003D66D3" w:rsidRPr="00943AB9" w:rsidRDefault="003D66D3" w:rsidP="003D66D3">
            <w:pPr>
              <w:spacing w:line="216" w:lineRule="auto"/>
            </w:pPr>
            <w:r w:rsidRPr="00D21BA9">
              <w:t>When it is necessary to blow down in place of vacuuming and sweeping, compressed air pressure is limited to 30 psi, and dust clouds are kept to a minimum. [1910.242(b)]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225704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A26E7D" w14:textId="1318648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605912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75A4A7" w14:textId="29D6640B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053862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63A5C3C" w14:textId="20C8C646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172E67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D8FF0F" w14:textId="03C94DE9" w:rsidR="003D66D3" w:rsidRPr="00943AB9" w:rsidRDefault="003D66D3" w:rsidP="003D66D3">
            <w:pPr>
              <w:spacing w:line="216" w:lineRule="auto"/>
              <w:jc w:val="center"/>
            </w:pPr>
            <w: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4BDC38F" w14:textId="61934BBD" w:rsidR="003D66D3" w:rsidRPr="00943AB9" w:rsidRDefault="003D66D3" w:rsidP="003D66D3">
            <w:pPr>
              <w:spacing w:line="216" w:lineRule="auto"/>
            </w:pPr>
            <w:r w:rsidRPr="00A17F48">
              <w:t>At least 3 feet of clearance is maintained in front of electrical panels for safe access. [1910.303(g)]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267616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040803" w14:textId="0FB21A02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99360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8B4245E" w14:textId="3E9C708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928343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1E41CB7" w14:textId="1296C969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66D3" w14:paraId="04BCD0C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FA93CF1" w14:textId="140F1096" w:rsidR="003D66D3" w:rsidRPr="00943AB9" w:rsidRDefault="003D66D3" w:rsidP="003D66D3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93A4D1" w14:textId="0FA6B2A0" w:rsidR="003D66D3" w:rsidRPr="00943AB9" w:rsidRDefault="003D66D3" w:rsidP="003D66D3">
            <w:pPr>
              <w:spacing w:line="216" w:lineRule="auto"/>
            </w:pPr>
            <w:r w:rsidRPr="003D66D3">
              <w:t>Exit routes are not obstructed by materials or equipment, even temporarily. [1910.37(a)(3)]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413239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D26D9C4" w14:textId="2B8B9518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63752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7D0700" w14:textId="24E37DAE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13342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58259D3" w14:textId="46594C62" w:rsidR="003D66D3" w:rsidRDefault="003D66D3" w:rsidP="003D66D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lastRenderedPageBreak/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E17A70">
        <w:trPr>
          <w:trHeight w:val="11232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D3C3" w14:textId="77777777" w:rsidR="007D55D9" w:rsidRDefault="007D55D9" w:rsidP="00486691">
      <w:pPr>
        <w:spacing w:after="0" w:line="240" w:lineRule="auto"/>
      </w:pPr>
      <w:r>
        <w:separator/>
      </w:r>
    </w:p>
  </w:endnote>
  <w:endnote w:type="continuationSeparator" w:id="0">
    <w:p w14:paraId="164EA9DE" w14:textId="77777777" w:rsidR="007D55D9" w:rsidRDefault="007D55D9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32AF" w14:textId="77777777" w:rsidR="007D55D9" w:rsidRDefault="007D55D9" w:rsidP="00486691">
      <w:pPr>
        <w:spacing w:after="0" w:line="240" w:lineRule="auto"/>
      </w:pPr>
      <w:r>
        <w:separator/>
      </w:r>
    </w:p>
  </w:footnote>
  <w:footnote w:type="continuationSeparator" w:id="0">
    <w:p w14:paraId="784C7898" w14:textId="77777777" w:rsidR="007D55D9" w:rsidRDefault="007D55D9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2A67E545" w:rsidR="00486691" w:rsidRPr="00017256" w:rsidRDefault="00A65BA5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HOUSEKEEPING</w:t>
    </w:r>
    <w:r w:rsidR="007527B9">
      <w:rPr>
        <w:rFonts w:ascii="Verdana" w:hAnsi="Verdana"/>
        <w:b/>
        <w:bCs/>
        <w:sz w:val="36"/>
        <w:szCs w:val="36"/>
      </w:rPr>
      <w:t xml:space="preserve">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41C3"/>
    <w:rsid w:val="00085A2E"/>
    <w:rsid w:val="00092DA9"/>
    <w:rsid w:val="0009410E"/>
    <w:rsid w:val="000B5D15"/>
    <w:rsid w:val="000D5930"/>
    <w:rsid w:val="000F46CE"/>
    <w:rsid w:val="001059F9"/>
    <w:rsid w:val="001346B8"/>
    <w:rsid w:val="001464AA"/>
    <w:rsid w:val="001856B7"/>
    <w:rsid w:val="001900BA"/>
    <w:rsid w:val="00194F99"/>
    <w:rsid w:val="001970D2"/>
    <w:rsid w:val="001A3256"/>
    <w:rsid w:val="001A3FA2"/>
    <w:rsid w:val="001B3392"/>
    <w:rsid w:val="001C6CE5"/>
    <w:rsid w:val="001D0979"/>
    <w:rsid w:val="001D6C42"/>
    <w:rsid w:val="001E4E5A"/>
    <w:rsid w:val="001F31DA"/>
    <w:rsid w:val="0020701E"/>
    <w:rsid w:val="00230D6B"/>
    <w:rsid w:val="00234533"/>
    <w:rsid w:val="00234E3B"/>
    <w:rsid w:val="00236FB4"/>
    <w:rsid w:val="00240110"/>
    <w:rsid w:val="00266689"/>
    <w:rsid w:val="00282071"/>
    <w:rsid w:val="002A70D0"/>
    <w:rsid w:val="002B1F6B"/>
    <w:rsid w:val="00320613"/>
    <w:rsid w:val="00327886"/>
    <w:rsid w:val="0034693A"/>
    <w:rsid w:val="00355C6B"/>
    <w:rsid w:val="003577CF"/>
    <w:rsid w:val="00386C9E"/>
    <w:rsid w:val="003A1358"/>
    <w:rsid w:val="003A5851"/>
    <w:rsid w:val="003A5D3A"/>
    <w:rsid w:val="003B1EEC"/>
    <w:rsid w:val="003D66D3"/>
    <w:rsid w:val="003D77A2"/>
    <w:rsid w:val="003E016B"/>
    <w:rsid w:val="004020F9"/>
    <w:rsid w:val="00406092"/>
    <w:rsid w:val="004075B1"/>
    <w:rsid w:val="00410267"/>
    <w:rsid w:val="004146D2"/>
    <w:rsid w:val="00416384"/>
    <w:rsid w:val="004227EB"/>
    <w:rsid w:val="00424471"/>
    <w:rsid w:val="00435087"/>
    <w:rsid w:val="004537A2"/>
    <w:rsid w:val="00486691"/>
    <w:rsid w:val="004939E5"/>
    <w:rsid w:val="004A00A2"/>
    <w:rsid w:val="004A10BD"/>
    <w:rsid w:val="004D197B"/>
    <w:rsid w:val="004E0BA3"/>
    <w:rsid w:val="00510FA8"/>
    <w:rsid w:val="00515382"/>
    <w:rsid w:val="00535BA2"/>
    <w:rsid w:val="00536AEB"/>
    <w:rsid w:val="00542E0D"/>
    <w:rsid w:val="00547D0D"/>
    <w:rsid w:val="00573087"/>
    <w:rsid w:val="00581312"/>
    <w:rsid w:val="00585D51"/>
    <w:rsid w:val="005933B5"/>
    <w:rsid w:val="005B7203"/>
    <w:rsid w:val="005D7EEA"/>
    <w:rsid w:val="006018A6"/>
    <w:rsid w:val="00605355"/>
    <w:rsid w:val="006127DA"/>
    <w:rsid w:val="00621659"/>
    <w:rsid w:val="00636C15"/>
    <w:rsid w:val="00667221"/>
    <w:rsid w:val="0067355C"/>
    <w:rsid w:val="006735D5"/>
    <w:rsid w:val="00677E6F"/>
    <w:rsid w:val="00682165"/>
    <w:rsid w:val="00691611"/>
    <w:rsid w:val="006A3EC8"/>
    <w:rsid w:val="006C2807"/>
    <w:rsid w:val="006E3493"/>
    <w:rsid w:val="006E4172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527B9"/>
    <w:rsid w:val="00771BCE"/>
    <w:rsid w:val="00781490"/>
    <w:rsid w:val="007922FA"/>
    <w:rsid w:val="007A2012"/>
    <w:rsid w:val="007A323F"/>
    <w:rsid w:val="007A4256"/>
    <w:rsid w:val="007D3750"/>
    <w:rsid w:val="007D55D9"/>
    <w:rsid w:val="007D5730"/>
    <w:rsid w:val="007E34AE"/>
    <w:rsid w:val="007F5077"/>
    <w:rsid w:val="0080301B"/>
    <w:rsid w:val="0080301E"/>
    <w:rsid w:val="008046A2"/>
    <w:rsid w:val="00821CDD"/>
    <w:rsid w:val="00835BD1"/>
    <w:rsid w:val="00840156"/>
    <w:rsid w:val="0085759C"/>
    <w:rsid w:val="00861D9C"/>
    <w:rsid w:val="00864D35"/>
    <w:rsid w:val="0088693D"/>
    <w:rsid w:val="008C3185"/>
    <w:rsid w:val="008C3FFE"/>
    <w:rsid w:val="008C4C1B"/>
    <w:rsid w:val="008E1890"/>
    <w:rsid w:val="008F05CC"/>
    <w:rsid w:val="008F2E07"/>
    <w:rsid w:val="008F3159"/>
    <w:rsid w:val="00900E7F"/>
    <w:rsid w:val="00915D1F"/>
    <w:rsid w:val="00923B92"/>
    <w:rsid w:val="00924FA0"/>
    <w:rsid w:val="00935716"/>
    <w:rsid w:val="00935AB7"/>
    <w:rsid w:val="00941ABD"/>
    <w:rsid w:val="00943AB9"/>
    <w:rsid w:val="009441B2"/>
    <w:rsid w:val="00946D40"/>
    <w:rsid w:val="00955D84"/>
    <w:rsid w:val="00957FC4"/>
    <w:rsid w:val="00971B65"/>
    <w:rsid w:val="00972923"/>
    <w:rsid w:val="009A3F3D"/>
    <w:rsid w:val="009A624E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17F48"/>
    <w:rsid w:val="00A264BC"/>
    <w:rsid w:val="00A31FBA"/>
    <w:rsid w:val="00A53D9B"/>
    <w:rsid w:val="00A65BA5"/>
    <w:rsid w:val="00A96DF4"/>
    <w:rsid w:val="00AA487A"/>
    <w:rsid w:val="00AB3F41"/>
    <w:rsid w:val="00AE26A3"/>
    <w:rsid w:val="00B51AE7"/>
    <w:rsid w:val="00B64D46"/>
    <w:rsid w:val="00B76424"/>
    <w:rsid w:val="00B829EA"/>
    <w:rsid w:val="00B847F6"/>
    <w:rsid w:val="00B86037"/>
    <w:rsid w:val="00BA4AF7"/>
    <w:rsid w:val="00BA663B"/>
    <w:rsid w:val="00BD54D7"/>
    <w:rsid w:val="00BD63A6"/>
    <w:rsid w:val="00BE1124"/>
    <w:rsid w:val="00BE6851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21BA9"/>
    <w:rsid w:val="00D307E8"/>
    <w:rsid w:val="00D33578"/>
    <w:rsid w:val="00D35308"/>
    <w:rsid w:val="00D508A2"/>
    <w:rsid w:val="00D70982"/>
    <w:rsid w:val="00D71423"/>
    <w:rsid w:val="00D8580B"/>
    <w:rsid w:val="00DB1138"/>
    <w:rsid w:val="00DE4CE3"/>
    <w:rsid w:val="00DE53CB"/>
    <w:rsid w:val="00DF0769"/>
    <w:rsid w:val="00E17A70"/>
    <w:rsid w:val="00E27458"/>
    <w:rsid w:val="00E3440F"/>
    <w:rsid w:val="00E538D1"/>
    <w:rsid w:val="00E80F90"/>
    <w:rsid w:val="00EB0107"/>
    <w:rsid w:val="00EC5088"/>
    <w:rsid w:val="00EE1A40"/>
    <w:rsid w:val="00EF6B6A"/>
    <w:rsid w:val="00F2006F"/>
    <w:rsid w:val="00F264EE"/>
    <w:rsid w:val="00F42470"/>
    <w:rsid w:val="00F45003"/>
    <w:rsid w:val="00F60FE9"/>
    <w:rsid w:val="00F61FDA"/>
    <w:rsid w:val="00F71AFE"/>
    <w:rsid w:val="00F729D9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2022-09-22T20:14:00Z</dcterms:modified>
</cp:coreProperties>
</file>