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67355C" w14:paraId="5A392974" w14:textId="77777777" w:rsidTr="0067355C">
        <w:trPr>
          <w:trHeight w:val="504"/>
        </w:trPr>
        <w:tc>
          <w:tcPr>
            <w:tcW w:w="1615" w:type="dxa"/>
            <w:vAlign w:val="center"/>
          </w:tcPr>
          <w:p w14:paraId="4533EB70" w14:textId="12B708CD" w:rsidR="0067355C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72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67355C">
        <w:trPr>
          <w:trHeight w:val="504"/>
        </w:trPr>
        <w:tc>
          <w:tcPr>
            <w:tcW w:w="1615" w:type="dxa"/>
            <w:vAlign w:val="center"/>
          </w:tcPr>
          <w:p w14:paraId="0A63708A" w14:textId="4D0B19D4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772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67355C">
        <w:trPr>
          <w:trHeight w:val="504"/>
        </w:trPr>
        <w:tc>
          <w:tcPr>
            <w:tcW w:w="1615" w:type="dxa"/>
            <w:vAlign w:val="center"/>
          </w:tcPr>
          <w:p w14:paraId="312C226A" w14:textId="20ACD411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72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8B7BC66" w:rsidR="0080301E" w:rsidRPr="0071434E" w:rsidRDefault="0080301E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Satisfactory    |    AN = </w:t>
            </w:r>
            <w:r w:rsidR="003A5D3A">
              <w:rPr>
                <w:sz w:val="24"/>
                <w:szCs w:val="24"/>
              </w:rPr>
              <w:t>Action Needed</w:t>
            </w:r>
            <w:r>
              <w:rPr>
                <w:sz w:val="24"/>
                <w:szCs w:val="24"/>
              </w:rPr>
              <w:t xml:space="preserve">    |    N/A = Not Applicable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C7347C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943AB9" w:rsidRDefault="00406092" w:rsidP="00406092">
            <w:pPr>
              <w:jc w:val="center"/>
            </w:pPr>
            <w:r w:rsidRPr="00943AB9"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1A7E7FBF" w:rsidR="00C7347C" w:rsidRPr="00943AB9" w:rsidRDefault="00156830" w:rsidP="00861D9C">
            <w:r w:rsidRPr="00156830">
              <w:t>All LPG equipment and systems have containers, valves, connectors, manifold valve assemblies, and regulators of an approved type. [1926.153(a)(1)]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65C61C14" w:rsidR="00C7347C" w:rsidRPr="00943AB9" w:rsidRDefault="00241955" w:rsidP="00406092">
            <w:pPr>
              <w:jc w:val="center"/>
            </w:pPr>
            <w: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12AAC994" w:rsidR="00C7347C" w:rsidRPr="00943AB9" w:rsidRDefault="00630712" w:rsidP="00861D9C">
            <w:r w:rsidRPr="00630712">
              <w:t>Welding on LPG containers is prohibited. [1926.153(b)]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7C3017AF" w:rsidR="00C7347C" w:rsidRPr="00943AB9" w:rsidRDefault="00241955" w:rsidP="00406092">
            <w:pPr>
              <w:jc w:val="center"/>
            </w:pPr>
            <w: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07449B8C" w:rsidR="00C7347C" w:rsidRPr="00943AB9" w:rsidRDefault="00502723" w:rsidP="00861D9C">
            <w:r w:rsidRPr="00502723">
              <w:t>Valves, fittings, and accessories connected directly to any LPG container, including primary shut off valves, have a rated working pressure of at least 250 p.s.i.g. and are of material and design suitable for LPG service. [1926.153(c)(1)]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1B3392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5C098E68" w:rsidR="001B3392" w:rsidRPr="00943AB9" w:rsidRDefault="00241955" w:rsidP="001B3392">
            <w:pPr>
              <w:jc w:val="center"/>
            </w:pPr>
            <w: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618F456E" w:rsidR="001B3392" w:rsidRPr="00943AB9" w:rsidRDefault="00C9352D" w:rsidP="001B3392">
            <w:r w:rsidRPr="00C9352D">
              <w:t>Connections to LPG containers, except safety relief connections, liquid level gauging devices, and plugged openings, have shutoff valves located as close to the container as practicable. [1926.153(c)(2)]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Default="00D8580B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8580B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75A9131B" w:rsidR="00D8580B" w:rsidRPr="00943AB9" w:rsidRDefault="00241955" w:rsidP="00D8580B">
            <w:pPr>
              <w:jc w:val="center"/>
            </w:pPr>
            <w: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64FBF75B" w:rsidR="00D8580B" w:rsidRPr="00943AB9" w:rsidRDefault="00900530" w:rsidP="00D8580B">
            <w:r w:rsidRPr="00900530">
              <w:t xml:space="preserve">LPG container safety relief devices and </w:t>
            </w:r>
            <w:proofErr w:type="spellStart"/>
            <w:r w:rsidRPr="00900530">
              <w:t>regulator</w:t>
            </w:r>
            <w:proofErr w:type="spellEnd"/>
            <w:r w:rsidRPr="00900530">
              <w:t xml:space="preserve"> relief vents are not located less than 5 feet in any direction from air openings into sealed combustion system appliances or mechanical ventilation air intakes. [1926.153(d)(3)]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5BBFEFDF" w:rsidR="00D8580B" w:rsidRDefault="00FC0B93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4E5E2482" w:rsidR="00D8580B" w:rsidRDefault="00FC0B93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C0B93" w14:paraId="1A6AC22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FEA9AE" w14:textId="724EDF27" w:rsidR="00FC0B93" w:rsidRPr="00943AB9" w:rsidRDefault="00241955" w:rsidP="00FC0B93">
            <w:pPr>
              <w:jc w:val="center"/>
            </w:pPr>
            <w: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DC03CB2" w14:textId="7A985380" w:rsidR="00FC0B93" w:rsidRPr="00242457" w:rsidRDefault="009F1B24" w:rsidP="00FC0B93">
            <w:r w:rsidRPr="009F1B24">
              <w:t>Filling of fuel containers for trucks or motor vehicles from bulk storage containers is performed more than 10 feet from the nearest masonry-walled building, or more than 25 feet from the nearest building or other construction and, in any event, more than 25 feet from any building opening. [1926.153(e)(1)]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234428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E55340" w14:textId="33B95325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448477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B7AF3F" w14:textId="67B793C5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729339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BCAB411" w14:textId="08ACEAE6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C0B93" w14:paraId="543F248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B3B9C50" w14:textId="56D3CE2F" w:rsidR="00FC0B93" w:rsidRPr="00943AB9" w:rsidRDefault="00241955" w:rsidP="00FC0B93">
            <w:pPr>
              <w:jc w:val="center"/>
            </w:pPr>
            <w: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8E85F02" w14:textId="503C4124" w:rsidR="00FC0B93" w:rsidRPr="00242457" w:rsidRDefault="00AC6BC8" w:rsidP="00FC0B93">
            <w:r w:rsidRPr="00AC6BC8">
              <w:t>Filling of portable LPG containers or containers mounted on skids from storage containers is performed more than 50 feet from the nearest building. [1926.153(e)(2)]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520018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91C789" w14:textId="1F8DB555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19437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4A0BD9F" w14:textId="1A7244B0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841361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59730FD" w14:textId="2CC1E05E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C0B93" w14:paraId="0A6C959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956B6B8" w14:textId="1699B406" w:rsidR="00FC0B93" w:rsidRPr="00943AB9" w:rsidRDefault="00241955" w:rsidP="00FC0B93">
            <w:pPr>
              <w:jc w:val="center"/>
            </w:pPr>
            <w: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EAC6CA3" w14:textId="4150CE48" w:rsidR="00FC0B93" w:rsidRPr="00242457" w:rsidRDefault="00AE5060" w:rsidP="00FC0B93">
            <w:r w:rsidRPr="00AE5060">
              <w:t>LPG containers and regulating equipment installed outside are upright on a firm foundation or otherwise firmly secured. [1926.153(g)]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71807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D0811C" w14:textId="2A74D8F2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822882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F5C51F" w14:textId="5FB380EC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119803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39807B5" w14:textId="0465C2BE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C0B93" w14:paraId="64ABFFB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0F6DA96" w14:textId="219C0094" w:rsidR="00FC0B93" w:rsidRPr="00943AB9" w:rsidRDefault="00241955" w:rsidP="00FC0B93">
            <w:pPr>
              <w:jc w:val="center"/>
            </w:pPr>
            <w:r>
              <w:lastRenderedPageBreak/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92C79AB" w14:textId="4F167830" w:rsidR="00FC0B93" w:rsidRPr="00242457" w:rsidRDefault="00D24B3C" w:rsidP="00FC0B93">
            <w:r w:rsidRPr="00D24B3C">
              <w:t>When in use inside buildings or structures, LPG containers, regulating equipment, manifolds, pipe, tubing, and hose are located in an area to minimize exposure to high temperatures or physical damage. [1926.153(h)(10)]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013232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A447269" w14:textId="4F43A199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016503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E5DF17" w14:textId="709B3A87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71714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3AC50FE" w14:textId="0E2145FB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C0B93" w14:paraId="0A5EFD9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7FB50BC" w14:textId="38A5DF84" w:rsidR="00FC0B93" w:rsidRPr="00943AB9" w:rsidRDefault="00241955" w:rsidP="00FC0B93">
            <w:pPr>
              <w:jc w:val="center"/>
            </w:pPr>
            <w: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F552DF6" w14:textId="0A98081E" w:rsidR="00FC0B93" w:rsidRPr="00242457" w:rsidRDefault="00B50D1D" w:rsidP="00FC0B93">
            <w:r w:rsidRPr="00B50D1D">
              <w:t>LPG containers are not stored indoors. [1926.153(j)]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761708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1D12542" w14:textId="59C7EC34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697979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8F4E96" w14:textId="65BD78B4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204404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C6A2C4" w14:textId="30CC8E39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C0B93" w14:paraId="717915C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969785A" w14:textId="1F3DCC3F" w:rsidR="00FC0B93" w:rsidRPr="00943AB9" w:rsidRDefault="00241955" w:rsidP="00FC0B93">
            <w:pPr>
              <w:jc w:val="center"/>
            </w:pPr>
            <w: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A493E0B" w14:textId="33D54D34" w:rsidR="00FC0B93" w:rsidRDefault="00FC0B93" w:rsidP="00FC0B93">
            <w:r>
              <w:t xml:space="preserve">LPG containers stored outside are located away from the building as follows: </w:t>
            </w:r>
            <w:r w:rsidR="00830DF9" w:rsidRPr="00830DF9">
              <w:t>[1926.153(k)(1)]</w:t>
            </w:r>
          </w:p>
          <w:p w14:paraId="46DE12B9" w14:textId="4B7FE1B1" w:rsidR="00FC0B93" w:rsidRDefault="00FC0B93" w:rsidP="00FC0B93">
            <w:pPr>
              <w:pStyle w:val="ListParagraph"/>
              <w:numPr>
                <w:ilvl w:val="0"/>
                <w:numId w:val="1"/>
              </w:numPr>
              <w:ind w:left="576" w:hanging="288"/>
            </w:pPr>
            <w:r>
              <w:t>500 lbs. or less – 0 feet</w:t>
            </w:r>
          </w:p>
          <w:p w14:paraId="50811E2B" w14:textId="61B44DC6" w:rsidR="00FC0B93" w:rsidRDefault="00FC0B93" w:rsidP="00FC0B93">
            <w:pPr>
              <w:pStyle w:val="ListParagraph"/>
              <w:numPr>
                <w:ilvl w:val="0"/>
                <w:numId w:val="1"/>
              </w:numPr>
              <w:ind w:left="576" w:hanging="288"/>
            </w:pPr>
            <w:r>
              <w:t>501 to 6,000 lbs. – 10 feet</w:t>
            </w:r>
          </w:p>
          <w:p w14:paraId="046F4518" w14:textId="1017797E" w:rsidR="00FC0B93" w:rsidRDefault="00FC0B93" w:rsidP="00FC0B93">
            <w:pPr>
              <w:pStyle w:val="ListParagraph"/>
              <w:numPr>
                <w:ilvl w:val="0"/>
                <w:numId w:val="1"/>
              </w:numPr>
              <w:ind w:left="576" w:hanging="288"/>
            </w:pPr>
            <w:r>
              <w:t>6,001 – 10,000 lbs. – 20 feet</w:t>
            </w:r>
          </w:p>
          <w:p w14:paraId="7E3AC9AB" w14:textId="62B5B354" w:rsidR="00FC0B93" w:rsidRPr="00242457" w:rsidRDefault="00FC0B93" w:rsidP="00FC0B93">
            <w:pPr>
              <w:pStyle w:val="ListParagraph"/>
              <w:numPr>
                <w:ilvl w:val="0"/>
                <w:numId w:val="1"/>
              </w:numPr>
              <w:ind w:left="576" w:hanging="288"/>
            </w:pPr>
            <w:r>
              <w:t>Over 10,000 lbs. – 25 feet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180827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578F12" w14:textId="04395EF9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170805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A187963" w14:textId="27FD3240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091650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7F58843" w14:textId="377D9924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C0B93" w14:paraId="57A89D8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A2ABC62" w14:textId="1A9893AE" w:rsidR="00FC0B93" w:rsidRPr="00943AB9" w:rsidRDefault="00241955" w:rsidP="00FC0B93">
            <w:pPr>
              <w:jc w:val="center"/>
            </w:pPr>
            <w: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489D96A" w14:textId="4DD13C78" w:rsidR="00FC0B93" w:rsidRPr="00242457" w:rsidRDefault="00920791" w:rsidP="00FC0B93">
            <w:r w:rsidRPr="00920791">
              <w:t>LPG containers are stored outside in a suitable ventilated enclosure that is protected against tampering. [1926.153(k)(2)]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705925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7667ADF" w14:textId="7CDAF8BC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476405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1847BCE" w14:textId="7785489E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957078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28E498D" w14:textId="4F3FCD35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C0B93" w14:paraId="505366F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51826EA" w14:textId="6CBA0D32" w:rsidR="00FC0B93" w:rsidRPr="00943AB9" w:rsidRDefault="00241955" w:rsidP="00FC0B93">
            <w:pPr>
              <w:jc w:val="center"/>
            </w:pPr>
            <w: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A99C43C" w14:textId="2077C7BA" w:rsidR="00FC0B93" w:rsidRPr="00242457" w:rsidRDefault="00AF3C9A" w:rsidP="00FC0B93">
            <w:r w:rsidRPr="00AF3C9A">
              <w:t>LPG container storage locations have at least one approved portable fire extinguisher having a rating that is at least 20-</w:t>
            </w:r>
            <w:proofErr w:type="gramStart"/>
            <w:r w:rsidRPr="00AF3C9A">
              <w:t>B:C.</w:t>
            </w:r>
            <w:proofErr w:type="gramEnd"/>
            <w:r w:rsidRPr="00AF3C9A">
              <w:t xml:space="preserve"> [1926.153(l)]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4273176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0A1AD9" w14:textId="1267F255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891113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B4C3A3" w14:textId="38C858C8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61682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FC1FEA8" w14:textId="7902D4F2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C0B93" w14:paraId="4A2AC03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EE132AE" w14:textId="63F75C0E" w:rsidR="00FC0B93" w:rsidRPr="00943AB9" w:rsidRDefault="00241955" w:rsidP="00FC0B93">
            <w:pPr>
              <w:jc w:val="center"/>
            </w:pPr>
            <w: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0621E18" w14:textId="707A7EDB" w:rsidR="00FC0B93" w:rsidRPr="00242457" w:rsidRDefault="003E7F15" w:rsidP="00FC0B93">
            <w:r w:rsidRPr="003E7F15">
              <w:t>When LPG and one or more other gases are stored or used in the same area, the containers are marked to identify their contents. [1926.153(n)]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577555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F295350" w14:textId="0B94F44E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487354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6E00AC" w14:textId="6C6D05DC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385193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A1CB3CE" w14:textId="2D86CB99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C0B93" w14:paraId="798CD7C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2E9138" w14:textId="6B6AB0B4" w:rsidR="00FC0B93" w:rsidRPr="00943AB9" w:rsidRDefault="00241955" w:rsidP="00FC0B93">
            <w:pPr>
              <w:jc w:val="center"/>
            </w:pPr>
            <w: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986040F" w14:textId="4E527E17" w:rsidR="00FC0B93" w:rsidRPr="00242457" w:rsidRDefault="00BB3559" w:rsidP="00FC0B93">
            <w:r w:rsidRPr="00BB3559">
              <w:t>LPG containers and systems are protected against possible damage from vehicular traffic. [1926.153(o)]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3891499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5690E2" w14:textId="22C1DC75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073627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011B59" w14:textId="02333CAA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752679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82F8BA" w14:textId="02AAF62A" w:rsidR="00FC0B93" w:rsidRDefault="00FC0B93" w:rsidP="00FC0B9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AF793BD" w:rsidR="00A03EBA" w:rsidRPr="00194F99" w:rsidRDefault="00536AEB">
            <w:pPr>
              <w:rPr>
                <w:sz w:val="24"/>
                <w:szCs w:val="24"/>
              </w:rPr>
            </w:pPr>
            <w:r w:rsidRPr="00194F99">
              <w:rPr>
                <w:sz w:val="24"/>
                <w:szCs w:val="24"/>
              </w:rPr>
              <w:t xml:space="preserve">Action Needed Items and Additional </w:t>
            </w:r>
            <w:r w:rsidR="00A03EBA" w:rsidRPr="00194F99">
              <w:rPr>
                <w:sz w:val="24"/>
                <w:szCs w:val="24"/>
              </w:rPr>
              <w:t>Notes</w:t>
            </w:r>
            <w:r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BB3559">
        <w:trPr>
          <w:trHeight w:val="2448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434CCB43" w:rsidR="00A31FBA" w:rsidRPr="00605355" w:rsidRDefault="00A31FBA" w:rsidP="00F729D9">
      <w:pPr>
        <w:spacing w:before="120"/>
        <w:jc w:val="center"/>
        <w:rPr>
          <w:i/>
          <w:iCs/>
          <w:sz w:val="13"/>
          <w:szCs w:val="13"/>
        </w:rPr>
      </w:pPr>
      <w:r w:rsidRPr="00605355">
        <w:rPr>
          <w:i/>
          <w:iCs/>
          <w:sz w:val="13"/>
          <w:szCs w:val="13"/>
        </w:rPr>
        <w:t xml:space="preserve">This </w:t>
      </w:r>
      <w:r w:rsidR="00605355">
        <w:rPr>
          <w:i/>
          <w:iCs/>
          <w:sz w:val="13"/>
          <w:szCs w:val="13"/>
        </w:rPr>
        <w:t xml:space="preserve">document </w:t>
      </w:r>
      <w:r w:rsidRPr="00605355">
        <w:rPr>
          <w:i/>
          <w:iCs/>
          <w:sz w:val="13"/>
          <w:szCs w:val="13"/>
        </w:rPr>
        <w:t>may not be comprehensive for the requirements of the workforce or facility being evaluated. Weeklysafety.com does not assume liability for damage or injury presumed</w:t>
      </w:r>
      <w:r w:rsidR="00605355" w:rsidRPr="00605355">
        <w:rPr>
          <w:i/>
          <w:iCs/>
          <w:sz w:val="13"/>
          <w:szCs w:val="13"/>
        </w:rPr>
        <w:t xml:space="preserve"> to be caused by use of this document. Use of this document does not guarantee conformity with any laws or regulations, nor does it ensure absolute workplace safety.</w:t>
      </w:r>
    </w:p>
    <w:sectPr w:rsidR="00A31FBA" w:rsidRPr="00605355" w:rsidSect="005933B5">
      <w:headerReference w:type="default" r:id="rId7"/>
      <w:footerReference w:type="default" r:id="rId8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34AB" w14:textId="77777777" w:rsidR="00CE30D4" w:rsidRDefault="00CE30D4" w:rsidP="00486691">
      <w:pPr>
        <w:spacing w:after="0" w:line="240" w:lineRule="auto"/>
      </w:pPr>
      <w:r>
        <w:separator/>
      </w:r>
    </w:p>
  </w:endnote>
  <w:endnote w:type="continuationSeparator" w:id="0">
    <w:p w14:paraId="272F9C5D" w14:textId="77777777" w:rsidR="00CE30D4" w:rsidRDefault="00CE30D4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AE69AA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5FFE" w14:textId="77777777" w:rsidR="00CE30D4" w:rsidRDefault="00CE30D4" w:rsidP="00486691">
      <w:pPr>
        <w:spacing w:after="0" w:line="240" w:lineRule="auto"/>
      </w:pPr>
      <w:r>
        <w:separator/>
      </w:r>
    </w:p>
  </w:footnote>
  <w:footnote w:type="continuationSeparator" w:id="0">
    <w:p w14:paraId="2F685A60" w14:textId="77777777" w:rsidR="00CE30D4" w:rsidRDefault="00CE30D4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5D87" w14:textId="2238F11C" w:rsidR="00D33578" w:rsidRDefault="00511AA0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 xml:space="preserve">LIQUIFIED PETROLEUM GAS (LPG) </w:t>
    </w:r>
    <w:r w:rsidR="009B0B4C">
      <w:rPr>
        <w:rFonts w:ascii="Verdana" w:hAnsi="Verdana"/>
        <w:b/>
        <w:bCs/>
        <w:sz w:val="36"/>
        <w:szCs w:val="36"/>
      </w:rPr>
      <w:t xml:space="preserve">CONSTRUCTION </w:t>
    </w:r>
    <w:r>
      <w:rPr>
        <w:rFonts w:ascii="Verdana" w:hAnsi="Verdana"/>
        <w:b/>
        <w:bCs/>
        <w:sz w:val="36"/>
        <w:szCs w:val="36"/>
      </w:rPr>
      <w:t>CHECKLIST</w:t>
    </w:r>
  </w:p>
  <w:p w14:paraId="2F38F666" w14:textId="77777777" w:rsidR="00511AA0" w:rsidRPr="00511AA0" w:rsidRDefault="00511AA0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16A"/>
    <w:multiLevelType w:val="hybridMultilevel"/>
    <w:tmpl w:val="A3E4ECCA"/>
    <w:lvl w:ilvl="0" w:tplc="E1309E1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99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40995"/>
    <w:rsid w:val="00047274"/>
    <w:rsid w:val="00053231"/>
    <w:rsid w:val="00057A41"/>
    <w:rsid w:val="000641C3"/>
    <w:rsid w:val="00085A2E"/>
    <w:rsid w:val="00092DA9"/>
    <w:rsid w:val="0009410E"/>
    <w:rsid w:val="000F46CE"/>
    <w:rsid w:val="001059F9"/>
    <w:rsid w:val="001346B8"/>
    <w:rsid w:val="001464AA"/>
    <w:rsid w:val="00156830"/>
    <w:rsid w:val="00183E8E"/>
    <w:rsid w:val="001856B7"/>
    <w:rsid w:val="001900BA"/>
    <w:rsid w:val="00194F99"/>
    <w:rsid w:val="001970D2"/>
    <w:rsid w:val="001A3256"/>
    <w:rsid w:val="001B3392"/>
    <w:rsid w:val="001C6CE5"/>
    <w:rsid w:val="001D0979"/>
    <w:rsid w:val="001D6C42"/>
    <w:rsid w:val="001E4E5A"/>
    <w:rsid w:val="00205820"/>
    <w:rsid w:val="0020701E"/>
    <w:rsid w:val="00234533"/>
    <w:rsid w:val="00234E3B"/>
    <w:rsid w:val="00236FB4"/>
    <w:rsid w:val="00240110"/>
    <w:rsid w:val="00241955"/>
    <w:rsid w:val="00242457"/>
    <w:rsid w:val="00266689"/>
    <w:rsid w:val="00282071"/>
    <w:rsid w:val="002B1F6B"/>
    <w:rsid w:val="00320613"/>
    <w:rsid w:val="00327886"/>
    <w:rsid w:val="00355C6B"/>
    <w:rsid w:val="003577CF"/>
    <w:rsid w:val="00386C9E"/>
    <w:rsid w:val="003A1358"/>
    <w:rsid w:val="003A5851"/>
    <w:rsid w:val="003A5D3A"/>
    <w:rsid w:val="003B1EEC"/>
    <w:rsid w:val="003B2F2C"/>
    <w:rsid w:val="003D2242"/>
    <w:rsid w:val="003E016B"/>
    <w:rsid w:val="003E7F15"/>
    <w:rsid w:val="004020F9"/>
    <w:rsid w:val="00406092"/>
    <w:rsid w:val="00410267"/>
    <w:rsid w:val="004146D2"/>
    <w:rsid w:val="00416384"/>
    <w:rsid w:val="004227EB"/>
    <w:rsid w:val="00424471"/>
    <w:rsid w:val="004537A2"/>
    <w:rsid w:val="00486691"/>
    <w:rsid w:val="004939E5"/>
    <w:rsid w:val="004A00A2"/>
    <w:rsid w:val="004A10BD"/>
    <w:rsid w:val="004D197B"/>
    <w:rsid w:val="004E057C"/>
    <w:rsid w:val="004E0BA3"/>
    <w:rsid w:val="00502723"/>
    <w:rsid w:val="005101BD"/>
    <w:rsid w:val="00510FA8"/>
    <w:rsid w:val="00511AA0"/>
    <w:rsid w:val="00515382"/>
    <w:rsid w:val="00535BA2"/>
    <w:rsid w:val="00536AEB"/>
    <w:rsid w:val="00542E0D"/>
    <w:rsid w:val="00547D0D"/>
    <w:rsid w:val="00581312"/>
    <w:rsid w:val="00585D51"/>
    <w:rsid w:val="005933B5"/>
    <w:rsid w:val="005B7203"/>
    <w:rsid w:val="005C638C"/>
    <w:rsid w:val="005D7EEA"/>
    <w:rsid w:val="006018A6"/>
    <w:rsid w:val="00605355"/>
    <w:rsid w:val="006127DA"/>
    <w:rsid w:val="00621659"/>
    <w:rsid w:val="00630712"/>
    <w:rsid w:val="00667221"/>
    <w:rsid w:val="0067355C"/>
    <w:rsid w:val="00677E6F"/>
    <w:rsid w:val="00691611"/>
    <w:rsid w:val="006A3EC8"/>
    <w:rsid w:val="006B6718"/>
    <w:rsid w:val="006C2807"/>
    <w:rsid w:val="006E3493"/>
    <w:rsid w:val="006F0BDA"/>
    <w:rsid w:val="006F1348"/>
    <w:rsid w:val="00707A06"/>
    <w:rsid w:val="00711224"/>
    <w:rsid w:val="007141C9"/>
    <w:rsid w:val="0071434E"/>
    <w:rsid w:val="007254A1"/>
    <w:rsid w:val="0073021E"/>
    <w:rsid w:val="007401E3"/>
    <w:rsid w:val="007527B9"/>
    <w:rsid w:val="00771BCE"/>
    <w:rsid w:val="00781490"/>
    <w:rsid w:val="00783654"/>
    <w:rsid w:val="007922FA"/>
    <w:rsid w:val="007A323F"/>
    <w:rsid w:val="007A4256"/>
    <w:rsid w:val="007D3750"/>
    <w:rsid w:val="007D5730"/>
    <w:rsid w:val="007F5077"/>
    <w:rsid w:val="0080301B"/>
    <w:rsid w:val="0080301E"/>
    <w:rsid w:val="008046A2"/>
    <w:rsid w:val="00821CDD"/>
    <w:rsid w:val="00830DF9"/>
    <w:rsid w:val="00835BD1"/>
    <w:rsid w:val="00840156"/>
    <w:rsid w:val="0085759C"/>
    <w:rsid w:val="00861D9C"/>
    <w:rsid w:val="00864D35"/>
    <w:rsid w:val="0088693D"/>
    <w:rsid w:val="008C3185"/>
    <w:rsid w:val="008C3FFE"/>
    <w:rsid w:val="008C4C1B"/>
    <w:rsid w:val="008F05CC"/>
    <w:rsid w:val="008F2E07"/>
    <w:rsid w:val="008F3159"/>
    <w:rsid w:val="00900530"/>
    <w:rsid w:val="00900E7F"/>
    <w:rsid w:val="00915D1F"/>
    <w:rsid w:val="00920791"/>
    <w:rsid w:val="00924FA0"/>
    <w:rsid w:val="00935716"/>
    <w:rsid w:val="00935AB7"/>
    <w:rsid w:val="00941ABD"/>
    <w:rsid w:val="00943AB9"/>
    <w:rsid w:val="00946D40"/>
    <w:rsid w:val="00955D84"/>
    <w:rsid w:val="00957FC4"/>
    <w:rsid w:val="00971B65"/>
    <w:rsid w:val="00972923"/>
    <w:rsid w:val="009A1508"/>
    <w:rsid w:val="009A624E"/>
    <w:rsid w:val="009B0B4C"/>
    <w:rsid w:val="009B5724"/>
    <w:rsid w:val="009B6CC3"/>
    <w:rsid w:val="009C2D9E"/>
    <w:rsid w:val="009C7E51"/>
    <w:rsid w:val="009C7FBE"/>
    <w:rsid w:val="009D713A"/>
    <w:rsid w:val="009F1B24"/>
    <w:rsid w:val="009F565B"/>
    <w:rsid w:val="00A0381B"/>
    <w:rsid w:val="00A03EBA"/>
    <w:rsid w:val="00A264BC"/>
    <w:rsid w:val="00A31FBA"/>
    <w:rsid w:val="00A53D9B"/>
    <w:rsid w:val="00A96DF4"/>
    <w:rsid w:val="00AA487A"/>
    <w:rsid w:val="00AB3F41"/>
    <w:rsid w:val="00AC6BC8"/>
    <w:rsid w:val="00AE26A3"/>
    <w:rsid w:val="00AE5060"/>
    <w:rsid w:val="00AF3C9A"/>
    <w:rsid w:val="00B50D1D"/>
    <w:rsid w:val="00B64D46"/>
    <w:rsid w:val="00B7359E"/>
    <w:rsid w:val="00B7443E"/>
    <w:rsid w:val="00B76424"/>
    <w:rsid w:val="00B829EA"/>
    <w:rsid w:val="00B847F6"/>
    <w:rsid w:val="00B86037"/>
    <w:rsid w:val="00BB3559"/>
    <w:rsid w:val="00BD54D7"/>
    <w:rsid w:val="00BD63A6"/>
    <w:rsid w:val="00BE1124"/>
    <w:rsid w:val="00BF262F"/>
    <w:rsid w:val="00C00079"/>
    <w:rsid w:val="00C039F8"/>
    <w:rsid w:val="00C16FAA"/>
    <w:rsid w:val="00C2227C"/>
    <w:rsid w:val="00C22715"/>
    <w:rsid w:val="00C307BD"/>
    <w:rsid w:val="00C4392B"/>
    <w:rsid w:val="00C45D19"/>
    <w:rsid w:val="00C54E15"/>
    <w:rsid w:val="00C629CA"/>
    <w:rsid w:val="00C716DB"/>
    <w:rsid w:val="00C7347C"/>
    <w:rsid w:val="00C9352D"/>
    <w:rsid w:val="00CB46F7"/>
    <w:rsid w:val="00CB5C04"/>
    <w:rsid w:val="00CC19D8"/>
    <w:rsid w:val="00CD3F13"/>
    <w:rsid w:val="00CE30D4"/>
    <w:rsid w:val="00CE44A1"/>
    <w:rsid w:val="00CF105C"/>
    <w:rsid w:val="00CF1187"/>
    <w:rsid w:val="00CF14B1"/>
    <w:rsid w:val="00D0514B"/>
    <w:rsid w:val="00D154E7"/>
    <w:rsid w:val="00D24B3C"/>
    <w:rsid w:val="00D307E8"/>
    <w:rsid w:val="00D33578"/>
    <w:rsid w:val="00D35308"/>
    <w:rsid w:val="00D4595E"/>
    <w:rsid w:val="00D64254"/>
    <w:rsid w:val="00D70982"/>
    <w:rsid w:val="00D71423"/>
    <w:rsid w:val="00D8580B"/>
    <w:rsid w:val="00DB1138"/>
    <w:rsid w:val="00DE4CE3"/>
    <w:rsid w:val="00DE53CB"/>
    <w:rsid w:val="00DF0769"/>
    <w:rsid w:val="00E538D1"/>
    <w:rsid w:val="00E80F90"/>
    <w:rsid w:val="00EB0107"/>
    <w:rsid w:val="00EC5088"/>
    <w:rsid w:val="00EE1A40"/>
    <w:rsid w:val="00EF6B6A"/>
    <w:rsid w:val="00F2006F"/>
    <w:rsid w:val="00F264EE"/>
    <w:rsid w:val="00F42470"/>
    <w:rsid w:val="00F45003"/>
    <w:rsid w:val="00F60FE9"/>
    <w:rsid w:val="00F61FDA"/>
    <w:rsid w:val="00F71AFE"/>
    <w:rsid w:val="00F729D9"/>
    <w:rsid w:val="00F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04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2022-07-16T20:02:00Z</dcterms:modified>
</cp:coreProperties>
</file>