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5"/>
        <w:gridCol w:w="7725"/>
      </w:tblGrid>
      <w:tr w:rsidR="0067355C" w14:paraId="5A392974" w14:textId="77777777" w:rsidTr="0067355C">
        <w:trPr>
          <w:trHeight w:val="504"/>
        </w:trPr>
        <w:tc>
          <w:tcPr>
            <w:tcW w:w="1615" w:type="dxa"/>
            <w:vAlign w:val="center"/>
          </w:tcPr>
          <w:p w14:paraId="4533EB70" w14:textId="12B708CD" w:rsidR="0067355C" w:rsidRDefault="0067355C" w:rsidP="00017256">
            <w:pPr>
              <w:jc w:val="right"/>
              <w:rPr>
                <w:sz w:val="24"/>
                <w:szCs w:val="24"/>
              </w:rPr>
            </w:pPr>
            <w:r>
              <w:rPr>
                <w:sz w:val="24"/>
                <w:szCs w:val="24"/>
              </w:rPr>
              <w:t>Date</w:t>
            </w:r>
          </w:p>
        </w:tc>
        <w:tc>
          <w:tcPr>
            <w:tcW w:w="7725" w:type="dxa"/>
            <w:vAlign w:val="center"/>
          </w:tcPr>
          <w:p w14:paraId="73DC01AC" w14:textId="77777777" w:rsidR="0067355C" w:rsidRDefault="0067355C" w:rsidP="008C3185">
            <w:pPr>
              <w:rPr>
                <w:sz w:val="24"/>
                <w:szCs w:val="24"/>
              </w:rPr>
            </w:pPr>
          </w:p>
        </w:tc>
      </w:tr>
      <w:tr w:rsidR="0067355C" w14:paraId="0EE2E306" w14:textId="276FBED4" w:rsidTr="0067355C">
        <w:trPr>
          <w:trHeight w:val="504"/>
        </w:trPr>
        <w:tc>
          <w:tcPr>
            <w:tcW w:w="1615" w:type="dxa"/>
            <w:vAlign w:val="center"/>
          </w:tcPr>
          <w:p w14:paraId="0A63708A" w14:textId="4D0B19D4" w:rsidR="0067355C" w:rsidRPr="00017256" w:rsidRDefault="0067355C" w:rsidP="00017256">
            <w:pPr>
              <w:jc w:val="right"/>
              <w:rPr>
                <w:sz w:val="24"/>
                <w:szCs w:val="24"/>
              </w:rPr>
            </w:pPr>
            <w:r>
              <w:rPr>
                <w:sz w:val="24"/>
                <w:szCs w:val="24"/>
              </w:rPr>
              <w:t>Location</w:t>
            </w:r>
          </w:p>
        </w:tc>
        <w:tc>
          <w:tcPr>
            <w:tcW w:w="7725" w:type="dxa"/>
            <w:vAlign w:val="center"/>
          </w:tcPr>
          <w:p w14:paraId="04F89007" w14:textId="77777777" w:rsidR="0067355C" w:rsidRDefault="0067355C" w:rsidP="008C3185">
            <w:pPr>
              <w:rPr>
                <w:sz w:val="24"/>
                <w:szCs w:val="24"/>
              </w:rPr>
            </w:pPr>
          </w:p>
        </w:tc>
      </w:tr>
      <w:tr w:rsidR="0067355C" w14:paraId="4641B0DE" w14:textId="4EBA1B2F" w:rsidTr="0067355C">
        <w:trPr>
          <w:trHeight w:val="504"/>
        </w:trPr>
        <w:tc>
          <w:tcPr>
            <w:tcW w:w="1615" w:type="dxa"/>
            <w:vAlign w:val="center"/>
          </w:tcPr>
          <w:p w14:paraId="312C226A" w14:textId="20ACD411" w:rsidR="0067355C" w:rsidRPr="00017256" w:rsidRDefault="0067355C" w:rsidP="00017256">
            <w:pPr>
              <w:jc w:val="right"/>
              <w:rPr>
                <w:sz w:val="24"/>
                <w:szCs w:val="24"/>
              </w:rPr>
            </w:pPr>
            <w:r>
              <w:rPr>
                <w:sz w:val="24"/>
                <w:szCs w:val="24"/>
              </w:rPr>
              <w:t>Completed by</w:t>
            </w:r>
          </w:p>
        </w:tc>
        <w:tc>
          <w:tcPr>
            <w:tcW w:w="7725" w:type="dxa"/>
            <w:vAlign w:val="center"/>
          </w:tcPr>
          <w:p w14:paraId="54B1AE38" w14:textId="77777777" w:rsidR="0067355C" w:rsidRPr="00017256" w:rsidRDefault="0067355C" w:rsidP="008C3185">
            <w:pPr>
              <w:rPr>
                <w:sz w:val="24"/>
                <w:szCs w:val="24"/>
              </w:rPr>
            </w:pPr>
          </w:p>
        </w:tc>
      </w:tr>
    </w:tbl>
    <w:p w14:paraId="4C33F81B" w14:textId="77777777" w:rsidR="00AB3F41" w:rsidRDefault="00AB3F41"/>
    <w:tbl>
      <w:tblPr>
        <w:tblStyle w:val="TableGrid"/>
        <w:tblW w:w="9355" w:type="dxa"/>
        <w:tblBorders>
          <w:left w:val="none" w:sz="0" w:space="0" w:color="auto"/>
          <w:right w:val="none" w:sz="0" w:space="0" w:color="auto"/>
          <w:insideV w:val="none" w:sz="0" w:space="0" w:color="auto"/>
        </w:tblBorders>
        <w:tblLayout w:type="fixed"/>
        <w:tblCellMar>
          <w:top w:w="115" w:type="dxa"/>
          <w:left w:w="144" w:type="dxa"/>
          <w:bottom w:w="115" w:type="dxa"/>
          <w:right w:w="144" w:type="dxa"/>
        </w:tblCellMar>
        <w:tblLook w:val="04A0" w:firstRow="1" w:lastRow="0" w:firstColumn="1" w:lastColumn="0" w:noHBand="0" w:noVBand="1"/>
      </w:tblPr>
      <w:tblGrid>
        <w:gridCol w:w="630"/>
        <w:gridCol w:w="6565"/>
        <w:gridCol w:w="720"/>
        <w:gridCol w:w="720"/>
        <w:gridCol w:w="720"/>
      </w:tblGrid>
      <w:tr w:rsidR="0080301E" w14:paraId="01C17FA0" w14:textId="77777777" w:rsidTr="00861D9C">
        <w:trPr>
          <w:cantSplit/>
          <w:tblHeader/>
        </w:trPr>
        <w:tc>
          <w:tcPr>
            <w:tcW w:w="7195" w:type="dxa"/>
            <w:gridSpan w:val="2"/>
            <w:tcBorders>
              <w:top w:val="nil"/>
              <w:left w:val="nil"/>
              <w:bottom w:val="single" w:sz="8" w:space="0" w:color="auto"/>
              <w:right w:val="nil"/>
            </w:tcBorders>
            <w:vAlign w:val="center"/>
          </w:tcPr>
          <w:p w14:paraId="3515FB09" w14:textId="58B7BC66" w:rsidR="0080301E" w:rsidRPr="0071434E" w:rsidRDefault="0080301E" w:rsidP="0080301E">
            <w:pPr>
              <w:jc w:val="center"/>
              <w:rPr>
                <w:sz w:val="24"/>
                <w:szCs w:val="24"/>
              </w:rPr>
            </w:pPr>
            <w:r>
              <w:rPr>
                <w:sz w:val="24"/>
                <w:szCs w:val="24"/>
              </w:rPr>
              <w:t xml:space="preserve">OK = Satisfactory    |    AN = </w:t>
            </w:r>
            <w:r w:rsidR="003A5D3A">
              <w:rPr>
                <w:sz w:val="24"/>
                <w:szCs w:val="24"/>
              </w:rPr>
              <w:t>Action Needed</w:t>
            </w:r>
            <w:r>
              <w:rPr>
                <w:sz w:val="24"/>
                <w:szCs w:val="24"/>
              </w:rPr>
              <w:t xml:space="preserve">    |    N/A = Not Applicable</w:t>
            </w:r>
          </w:p>
        </w:tc>
        <w:tc>
          <w:tcPr>
            <w:tcW w:w="720" w:type="dxa"/>
            <w:tcBorders>
              <w:top w:val="nil"/>
              <w:left w:val="nil"/>
              <w:bottom w:val="single" w:sz="8" w:space="0" w:color="auto"/>
              <w:right w:val="nil"/>
            </w:tcBorders>
          </w:tcPr>
          <w:p w14:paraId="274C53E0" w14:textId="78837468" w:rsidR="0080301E" w:rsidRPr="0080301E" w:rsidRDefault="0080301E" w:rsidP="0080301E">
            <w:pPr>
              <w:jc w:val="center"/>
              <w:rPr>
                <w:rFonts w:cstheme="minorHAnsi"/>
                <w:b/>
                <w:bCs/>
                <w:sz w:val="24"/>
                <w:szCs w:val="24"/>
              </w:rPr>
            </w:pPr>
            <w:r w:rsidRPr="0080301E">
              <w:rPr>
                <w:rFonts w:cstheme="minorHAnsi"/>
                <w:b/>
                <w:bCs/>
                <w:sz w:val="24"/>
                <w:szCs w:val="24"/>
              </w:rPr>
              <w:t>OK</w:t>
            </w:r>
          </w:p>
        </w:tc>
        <w:tc>
          <w:tcPr>
            <w:tcW w:w="720" w:type="dxa"/>
            <w:tcBorders>
              <w:top w:val="nil"/>
              <w:left w:val="nil"/>
              <w:bottom w:val="single" w:sz="8" w:space="0" w:color="auto"/>
              <w:right w:val="nil"/>
            </w:tcBorders>
          </w:tcPr>
          <w:p w14:paraId="363A766B" w14:textId="68A9E005" w:rsidR="0080301E" w:rsidRPr="0080301E" w:rsidRDefault="0080301E" w:rsidP="0080301E">
            <w:pPr>
              <w:jc w:val="center"/>
              <w:rPr>
                <w:rFonts w:cstheme="minorHAnsi"/>
                <w:b/>
                <w:bCs/>
                <w:sz w:val="24"/>
                <w:szCs w:val="24"/>
              </w:rPr>
            </w:pPr>
            <w:r w:rsidRPr="0080301E">
              <w:rPr>
                <w:rFonts w:cstheme="minorHAnsi"/>
                <w:b/>
                <w:bCs/>
                <w:sz w:val="24"/>
                <w:szCs w:val="24"/>
              </w:rPr>
              <w:t>AN</w:t>
            </w:r>
          </w:p>
        </w:tc>
        <w:tc>
          <w:tcPr>
            <w:tcW w:w="720" w:type="dxa"/>
            <w:tcBorders>
              <w:top w:val="nil"/>
              <w:left w:val="nil"/>
              <w:bottom w:val="single" w:sz="8" w:space="0" w:color="auto"/>
            </w:tcBorders>
          </w:tcPr>
          <w:p w14:paraId="7BDDA9A1" w14:textId="3DC31AD0" w:rsidR="0080301E" w:rsidRPr="0080301E" w:rsidRDefault="0080301E" w:rsidP="0080301E">
            <w:pPr>
              <w:jc w:val="center"/>
              <w:rPr>
                <w:rFonts w:cstheme="minorHAnsi"/>
                <w:b/>
                <w:bCs/>
                <w:sz w:val="24"/>
                <w:szCs w:val="24"/>
              </w:rPr>
            </w:pPr>
            <w:r w:rsidRPr="0080301E">
              <w:rPr>
                <w:rFonts w:cstheme="minorHAnsi"/>
                <w:b/>
                <w:bCs/>
                <w:sz w:val="24"/>
                <w:szCs w:val="24"/>
              </w:rPr>
              <w:t>N/A</w:t>
            </w:r>
          </w:p>
        </w:tc>
      </w:tr>
      <w:tr w:rsidR="00C7347C" w14:paraId="1E2EC7DB" w14:textId="3196C408" w:rsidTr="00EE1A40">
        <w:trPr>
          <w:cantSplit/>
          <w:trHeight w:val="576"/>
        </w:trPr>
        <w:tc>
          <w:tcPr>
            <w:tcW w:w="630" w:type="dxa"/>
            <w:tcBorders>
              <w:top w:val="single" w:sz="8" w:space="0" w:color="auto"/>
              <w:left w:val="nil"/>
              <w:right w:val="double" w:sz="4" w:space="0" w:color="auto"/>
            </w:tcBorders>
            <w:vAlign w:val="center"/>
          </w:tcPr>
          <w:p w14:paraId="79A296CA" w14:textId="544D21DF" w:rsidR="00C7347C" w:rsidRPr="00943AB9" w:rsidRDefault="00406092" w:rsidP="00406092">
            <w:pPr>
              <w:jc w:val="center"/>
            </w:pPr>
            <w:r w:rsidRPr="00943AB9">
              <w:t>1</w:t>
            </w:r>
          </w:p>
        </w:tc>
        <w:tc>
          <w:tcPr>
            <w:tcW w:w="6565" w:type="dxa"/>
            <w:tcBorders>
              <w:top w:val="single" w:sz="8" w:space="0" w:color="auto"/>
              <w:left w:val="double" w:sz="4" w:space="0" w:color="auto"/>
              <w:right w:val="nil"/>
            </w:tcBorders>
            <w:vAlign w:val="center"/>
          </w:tcPr>
          <w:p w14:paraId="385E8C07" w14:textId="3C1B4DC0" w:rsidR="00C7347C" w:rsidRPr="00943AB9" w:rsidRDefault="00266377" w:rsidP="00861D9C">
            <w:r w:rsidRPr="00266377">
              <w:t>A hospital, clinic, or infirmary for medical care is located near the worksite</w:t>
            </w:r>
            <w:r w:rsidR="00C7347C" w:rsidRPr="00943AB9">
              <w:t>.</w:t>
            </w:r>
          </w:p>
        </w:tc>
        <w:sdt>
          <w:sdtPr>
            <w:rPr>
              <w:rFonts w:cstheme="minorHAnsi"/>
              <w:sz w:val="44"/>
              <w:szCs w:val="44"/>
            </w:rPr>
            <w:id w:val="1479185891"/>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219DE6DD" w14:textId="69345D7C" w:rsidR="00C7347C" w:rsidRPr="0071434E" w:rsidRDefault="00C7347C"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88061603"/>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right w:val="nil"/>
                </w:tcBorders>
                <w:vAlign w:val="center"/>
              </w:tcPr>
              <w:p w14:paraId="449B2467" w14:textId="64EBFCE3" w:rsidR="00C7347C" w:rsidRPr="0071434E" w:rsidRDefault="00C7347C" w:rsidP="00EB0107">
                <w:pPr>
                  <w:rPr>
                    <w:sz w:val="24"/>
                    <w:szCs w:val="24"/>
                  </w:rPr>
                </w:pPr>
                <w:r>
                  <w:rPr>
                    <w:rFonts w:ascii="MS Gothic" w:eastAsia="MS Gothic" w:hAnsi="MS Gothic" w:cstheme="minorHAnsi" w:hint="eastAsia"/>
                    <w:sz w:val="44"/>
                    <w:szCs w:val="44"/>
                  </w:rPr>
                  <w:t>☐</w:t>
                </w:r>
              </w:p>
            </w:tc>
          </w:sdtContent>
        </w:sdt>
        <w:sdt>
          <w:sdtPr>
            <w:rPr>
              <w:rFonts w:cstheme="minorHAnsi"/>
              <w:sz w:val="44"/>
              <w:szCs w:val="44"/>
            </w:rPr>
            <w:id w:val="930703152"/>
            <w15:appearance w15:val="hidden"/>
            <w14:checkbox>
              <w14:checked w14:val="0"/>
              <w14:checkedState w14:val="2611" w14:font="MS UI Gothic"/>
              <w14:uncheckedState w14:val="2610" w14:font="MS Gothic"/>
            </w14:checkbox>
          </w:sdtPr>
          <w:sdtEndPr/>
          <w:sdtContent>
            <w:tc>
              <w:tcPr>
                <w:tcW w:w="720" w:type="dxa"/>
                <w:tcBorders>
                  <w:top w:val="single" w:sz="8" w:space="0" w:color="auto"/>
                  <w:left w:val="nil"/>
                </w:tcBorders>
                <w:vAlign w:val="center"/>
              </w:tcPr>
              <w:p w14:paraId="7FEB40F7" w14:textId="7A22E2F3" w:rsidR="00C7347C" w:rsidRPr="0071434E" w:rsidRDefault="00C7347C" w:rsidP="00EB0107">
                <w:pPr>
                  <w:rPr>
                    <w:sz w:val="24"/>
                    <w:szCs w:val="24"/>
                  </w:rPr>
                </w:pPr>
                <w:r>
                  <w:rPr>
                    <w:rFonts w:ascii="MS Gothic" w:eastAsia="MS Gothic" w:hAnsi="MS Gothic" w:cstheme="minorHAnsi" w:hint="eastAsia"/>
                    <w:sz w:val="44"/>
                    <w:szCs w:val="44"/>
                  </w:rPr>
                  <w:t>☐</w:t>
                </w:r>
              </w:p>
            </w:tc>
          </w:sdtContent>
        </w:sdt>
      </w:tr>
      <w:tr w:rsidR="00C7347C" w14:paraId="3A2DA265" w14:textId="77777777" w:rsidTr="0085759C">
        <w:trPr>
          <w:cantSplit/>
        </w:trPr>
        <w:tc>
          <w:tcPr>
            <w:tcW w:w="630" w:type="dxa"/>
            <w:tcBorders>
              <w:left w:val="nil"/>
              <w:right w:val="double" w:sz="4" w:space="0" w:color="auto"/>
            </w:tcBorders>
            <w:vAlign w:val="center"/>
          </w:tcPr>
          <w:p w14:paraId="145C2BE7" w14:textId="0E5A0EB2" w:rsidR="00C7347C" w:rsidRPr="00943AB9" w:rsidRDefault="00D22595" w:rsidP="00406092">
            <w:pPr>
              <w:jc w:val="center"/>
            </w:pPr>
            <w:r>
              <w:t>2</w:t>
            </w:r>
          </w:p>
        </w:tc>
        <w:tc>
          <w:tcPr>
            <w:tcW w:w="6565" w:type="dxa"/>
            <w:tcBorders>
              <w:left w:val="double" w:sz="4" w:space="0" w:color="auto"/>
              <w:right w:val="nil"/>
            </w:tcBorders>
            <w:vAlign w:val="center"/>
          </w:tcPr>
          <w:p w14:paraId="4CA67214" w14:textId="5BF85237" w:rsidR="00C7347C" w:rsidRPr="00943AB9" w:rsidRDefault="00187007" w:rsidP="00861D9C">
            <w:r w:rsidRPr="00187007">
              <w:t xml:space="preserve">Emergency phone numbers are posted for employees. </w:t>
            </w:r>
            <w:r w:rsidR="002F0228" w:rsidRPr="003B3B45">
              <w:t>[1926.50(f)]</w:t>
            </w:r>
          </w:p>
        </w:tc>
        <w:sdt>
          <w:sdtPr>
            <w:rPr>
              <w:rFonts w:cstheme="minorHAnsi"/>
              <w:sz w:val="44"/>
              <w:szCs w:val="44"/>
            </w:rPr>
            <w:id w:val="-14982992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87344AE" w14:textId="3CF5BCAB"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6514883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691EA026" w14:textId="117BD6DA"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00970485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F2C2F2" w14:textId="2256EB31"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tr>
      <w:tr w:rsidR="00C7347C" w14:paraId="0CF92AD4" w14:textId="77777777" w:rsidTr="0085759C">
        <w:trPr>
          <w:cantSplit/>
        </w:trPr>
        <w:tc>
          <w:tcPr>
            <w:tcW w:w="630" w:type="dxa"/>
            <w:tcBorders>
              <w:left w:val="nil"/>
              <w:right w:val="double" w:sz="4" w:space="0" w:color="auto"/>
            </w:tcBorders>
            <w:vAlign w:val="center"/>
          </w:tcPr>
          <w:p w14:paraId="744E224C" w14:textId="2FF278CD" w:rsidR="00C7347C" w:rsidRPr="00943AB9" w:rsidRDefault="00D22595" w:rsidP="00406092">
            <w:pPr>
              <w:jc w:val="center"/>
            </w:pPr>
            <w:r>
              <w:t>3</w:t>
            </w:r>
          </w:p>
        </w:tc>
        <w:tc>
          <w:tcPr>
            <w:tcW w:w="6565" w:type="dxa"/>
            <w:tcBorders>
              <w:left w:val="double" w:sz="4" w:space="0" w:color="auto"/>
              <w:right w:val="nil"/>
            </w:tcBorders>
            <w:vAlign w:val="center"/>
          </w:tcPr>
          <w:p w14:paraId="7F24B38B" w14:textId="031B8808" w:rsidR="00C7347C" w:rsidRPr="00943AB9" w:rsidRDefault="00764C68" w:rsidP="00861D9C">
            <w:r w:rsidRPr="00764C68">
              <w:t xml:space="preserve">If a medical facility is not located near the worksite, at least one worker on each shift is adequately trained and qualified to </w:t>
            </w:r>
            <w:r w:rsidR="0074435A">
              <w:t>provide</w:t>
            </w:r>
            <w:r w:rsidRPr="00764C68">
              <w:t xml:space="preserve"> first aid. </w:t>
            </w:r>
            <w:r w:rsidR="009D7B40" w:rsidRPr="003B3B45">
              <w:t>[1926.50(c)]</w:t>
            </w:r>
          </w:p>
        </w:tc>
        <w:sdt>
          <w:sdtPr>
            <w:rPr>
              <w:rFonts w:cstheme="minorHAnsi"/>
              <w:sz w:val="44"/>
              <w:szCs w:val="44"/>
            </w:rPr>
            <w:id w:val="384300036"/>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E08DCBF" w14:textId="069F6072"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22636295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50971F6" w14:textId="03A3CBF4"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8471768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665DDC3" w14:textId="3DD40FEE" w:rsidR="00C7347C" w:rsidRDefault="00C7347C" w:rsidP="00861D9C">
                <w:pPr>
                  <w:rPr>
                    <w:rFonts w:cstheme="minorHAnsi"/>
                    <w:sz w:val="44"/>
                    <w:szCs w:val="44"/>
                  </w:rPr>
                </w:pPr>
                <w:r>
                  <w:rPr>
                    <w:rFonts w:ascii="MS Gothic" w:eastAsia="MS Gothic" w:hAnsi="MS Gothic" w:cstheme="minorHAnsi" w:hint="eastAsia"/>
                    <w:sz w:val="44"/>
                    <w:szCs w:val="44"/>
                  </w:rPr>
                  <w:t>☐</w:t>
                </w:r>
              </w:p>
            </w:tc>
          </w:sdtContent>
        </w:sdt>
      </w:tr>
      <w:tr w:rsidR="001B3392" w14:paraId="16B4DE89" w14:textId="77777777" w:rsidTr="0085759C">
        <w:trPr>
          <w:cantSplit/>
        </w:trPr>
        <w:tc>
          <w:tcPr>
            <w:tcW w:w="630" w:type="dxa"/>
            <w:tcBorders>
              <w:left w:val="nil"/>
              <w:right w:val="double" w:sz="4" w:space="0" w:color="auto"/>
            </w:tcBorders>
            <w:vAlign w:val="center"/>
          </w:tcPr>
          <w:p w14:paraId="1D70B060" w14:textId="0411202A" w:rsidR="001B3392" w:rsidRPr="00943AB9" w:rsidRDefault="00D22595" w:rsidP="001B3392">
            <w:pPr>
              <w:jc w:val="center"/>
            </w:pPr>
            <w:r>
              <w:t>4</w:t>
            </w:r>
          </w:p>
        </w:tc>
        <w:tc>
          <w:tcPr>
            <w:tcW w:w="6565" w:type="dxa"/>
            <w:tcBorders>
              <w:left w:val="double" w:sz="4" w:space="0" w:color="auto"/>
              <w:right w:val="nil"/>
            </w:tcBorders>
            <w:vAlign w:val="center"/>
          </w:tcPr>
          <w:p w14:paraId="072B2753" w14:textId="47FFED52" w:rsidR="001B3392" w:rsidRPr="00943AB9" w:rsidRDefault="009E3BE9" w:rsidP="001B3392">
            <w:r w:rsidRPr="009E3BE9">
              <w:t>OSHA 300 Log of Work-Related Injuries and Illnesses and OSHA 301 Injury and Illness Incident Reports are maintained as required by OSHA Standard 1904.</w:t>
            </w:r>
          </w:p>
        </w:tc>
        <w:sdt>
          <w:sdtPr>
            <w:rPr>
              <w:rFonts w:cstheme="minorHAnsi"/>
              <w:sz w:val="44"/>
              <w:szCs w:val="44"/>
            </w:rPr>
            <w:id w:val="76426949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D904377" w14:textId="341648C8" w:rsidR="001B3392" w:rsidRDefault="001B3392" w:rsidP="001B3392">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91514799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278FB6E" w14:textId="55F2F21A" w:rsidR="001B3392" w:rsidRDefault="001B3392" w:rsidP="001B3392">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3733793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36528493" w14:textId="0931A506" w:rsidR="001B3392" w:rsidRDefault="00D8580B" w:rsidP="001B3392">
                <w:pPr>
                  <w:rPr>
                    <w:rFonts w:cstheme="minorHAnsi"/>
                    <w:sz w:val="44"/>
                    <w:szCs w:val="44"/>
                  </w:rPr>
                </w:pPr>
                <w:r>
                  <w:rPr>
                    <w:rFonts w:ascii="MS Gothic" w:eastAsia="MS Gothic" w:hAnsi="MS Gothic" w:cstheme="minorHAnsi" w:hint="eastAsia"/>
                    <w:sz w:val="44"/>
                    <w:szCs w:val="44"/>
                  </w:rPr>
                  <w:t>☐</w:t>
                </w:r>
              </w:p>
            </w:tc>
          </w:sdtContent>
        </w:sdt>
      </w:tr>
      <w:tr w:rsidR="00D8580B" w14:paraId="4051C99A" w14:textId="77777777" w:rsidTr="0085759C">
        <w:trPr>
          <w:cantSplit/>
        </w:trPr>
        <w:tc>
          <w:tcPr>
            <w:tcW w:w="630" w:type="dxa"/>
            <w:tcBorders>
              <w:left w:val="nil"/>
              <w:right w:val="double" w:sz="4" w:space="0" w:color="auto"/>
            </w:tcBorders>
            <w:vAlign w:val="center"/>
          </w:tcPr>
          <w:p w14:paraId="27B67EF2" w14:textId="200B9243" w:rsidR="00D8580B" w:rsidRPr="00943AB9" w:rsidRDefault="00D22595" w:rsidP="00D8580B">
            <w:pPr>
              <w:jc w:val="center"/>
            </w:pPr>
            <w:r>
              <w:t>5</w:t>
            </w:r>
          </w:p>
        </w:tc>
        <w:tc>
          <w:tcPr>
            <w:tcW w:w="6565" w:type="dxa"/>
            <w:tcBorders>
              <w:left w:val="double" w:sz="4" w:space="0" w:color="auto"/>
              <w:right w:val="nil"/>
            </w:tcBorders>
            <w:vAlign w:val="center"/>
          </w:tcPr>
          <w:p w14:paraId="1F30DF8F" w14:textId="5173C765" w:rsidR="00D8580B" w:rsidRPr="00943AB9" w:rsidRDefault="00B340A9" w:rsidP="00D8580B">
            <w:r w:rsidRPr="00B340A9">
              <w:t>The OSHA 300 Log is signed by a company executive and posted between February 1 and April 30. [1904.32]</w:t>
            </w:r>
          </w:p>
        </w:tc>
        <w:sdt>
          <w:sdtPr>
            <w:rPr>
              <w:rFonts w:cstheme="minorHAnsi"/>
              <w:sz w:val="44"/>
              <w:szCs w:val="44"/>
            </w:rPr>
            <w:id w:val="-50196931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30FD3C07" w14:textId="7CA40F3E"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5702521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DF4B287" w14:textId="3CE9AB25"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85395454"/>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F71EB04" w14:textId="0F9D4E71" w:rsidR="00D8580B" w:rsidRDefault="00D8580B" w:rsidP="00D8580B">
                <w:pPr>
                  <w:rPr>
                    <w:rFonts w:cstheme="minorHAnsi"/>
                    <w:sz w:val="44"/>
                    <w:szCs w:val="44"/>
                  </w:rPr>
                </w:pPr>
                <w:r>
                  <w:rPr>
                    <w:rFonts w:ascii="MS Gothic" w:eastAsia="MS Gothic" w:hAnsi="MS Gothic" w:cstheme="minorHAnsi" w:hint="eastAsia"/>
                    <w:sz w:val="44"/>
                    <w:szCs w:val="44"/>
                  </w:rPr>
                  <w:t>☐</w:t>
                </w:r>
              </w:p>
            </w:tc>
          </w:sdtContent>
        </w:sdt>
      </w:tr>
      <w:tr w:rsidR="00B218AD" w14:paraId="1C65AB95" w14:textId="77777777" w:rsidTr="0085759C">
        <w:trPr>
          <w:cantSplit/>
        </w:trPr>
        <w:tc>
          <w:tcPr>
            <w:tcW w:w="630" w:type="dxa"/>
            <w:tcBorders>
              <w:left w:val="nil"/>
              <w:right w:val="double" w:sz="4" w:space="0" w:color="auto"/>
            </w:tcBorders>
            <w:vAlign w:val="center"/>
          </w:tcPr>
          <w:p w14:paraId="2070103D" w14:textId="76F6C980" w:rsidR="00B218AD" w:rsidRPr="00943AB9" w:rsidRDefault="00D22595" w:rsidP="00B218AD">
            <w:pPr>
              <w:jc w:val="center"/>
            </w:pPr>
            <w:r>
              <w:t>6</w:t>
            </w:r>
          </w:p>
        </w:tc>
        <w:tc>
          <w:tcPr>
            <w:tcW w:w="6565" w:type="dxa"/>
            <w:tcBorders>
              <w:left w:val="double" w:sz="4" w:space="0" w:color="auto"/>
              <w:right w:val="nil"/>
            </w:tcBorders>
            <w:vAlign w:val="center"/>
          </w:tcPr>
          <w:p w14:paraId="062BAA0A" w14:textId="7199B8F8" w:rsidR="00B218AD" w:rsidRPr="00943AB9" w:rsidRDefault="00B218AD" w:rsidP="00B218AD">
            <w:r w:rsidRPr="0072211C">
              <w:t xml:space="preserve">Fully supplied first aid kits are easily accessible to each work area, are adequate for the particular area or operation, and are periodically inspected and replenished as needed. </w:t>
            </w:r>
            <w:r w:rsidR="00592AE2" w:rsidRPr="003B3B45">
              <w:t>[1926.50(d)]</w:t>
            </w:r>
          </w:p>
        </w:tc>
        <w:sdt>
          <w:sdtPr>
            <w:rPr>
              <w:rFonts w:cstheme="minorHAnsi"/>
              <w:sz w:val="44"/>
              <w:szCs w:val="44"/>
            </w:rPr>
            <w:id w:val="62752289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426E5BF" w14:textId="346D0A08"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41076933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348BF5A" w14:textId="5626B676"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94108235"/>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8E1E046" w14:textId="2632B9BD"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tr>
      <w:tr w:rsidR="00B218AD" w14:paraId="204991D5" w14:textId="77777777" w:rsidTr="0085759C">
        <w:trPr>
          <w:cantSplit/>
        </w:trPr>
        <w:tc>
          <w:tcPr>
            <w:tcW w:w="630" w:type="dxa"/>
            <w:tcBorders>
              <w:left w:val="nil"/>
              <w:right w:val="double" w:sz="4" w:space="0" w:color="auto"/>
            </w:tcBorders>
            <w:vAlign w:val="center"/>
          </w:tcPr>
          <w:p w14:paraId="48DDE5E3" w14:textId="749D1BAF" w:rsidR="00B218AD" w:rsidRPr="00943AB9" w:rsidRDefault="00D22595" w:rsidP="00B218AD">
            <w:pPr>
              <w:jc w:val="center"/>
            </w:pPr>
            <w:r>
              <w:t>7</w:t>
            </w:r>
          </w:p>
        </w:tc>
        <w:tc>
          <w:tcPr>
            <w:tcW w:w="6565" w:type="dxa"/>
            <w:tcBorders>
              <w:left w:val="double" w:sz="4" w:space="0" w:color="auto"/>
              <w:right w:val="nil"/>
            </w:tcBorders>
            <w:vAlign w:val="center"/>
          </w:tcPr>
          <w:p w14:paraId="03C92111" w14:textId="425789BA" w:rsidR="00B218AD" w:rsidRPr="00943AB9" w:rsidRDefault="00B218AD" w:rsidP="00B218AD">
            <w:r w:rsidRPr="001372CE">
              <w:t>All dated medical supplies are current (not expired).</w:t>
            </w:r>
          </w:p>
        </w:tc>
        <w:sdt>
          <w:sdtPr>
            <w:rPr>
              <w:rFonts w:cstheme="minorHAnsi"/>
              <w:sz w:val="44"/>
              <w:szCs w:val="44"/>
            </w:rPr>
            <w:id w:val="15846419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606365B" w14:textId="21DD996D"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64846522"/>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7602F34" w14:textId="4D53BC0B"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3940243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FFFB82E" w14:textId="2061DCD9"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tr>
      <w:tr w:rsidR="00B218AD" w14:paraId="537426AA" w14:textId="77777777" w:rsidTr="0085759C">
        <w:trPr>
          <w:cantSplit/>
        </w:trPr>
        <w:tc>
          <w:tcPr>
            <w:tcW w:w="630" w:type="dxa"/>
            <w:tcBorders>
              <w:left w:val="nil"/>
              <w:right w:val="double" w:sz="4" w:space="0" w:color="auto"/>
            </w:tcBorders>
            <w:vAlign w:val="center"/>
          </w:tcPr>
          <w:p w14:paraId="54C16C2D" w14:textId="4A3C0BA0" w:rsidR="00B218AD" w:rsidRPr="00943AB9" w:rsidRDefault="00D22595" w:rsidP="00B218AD">
            <w:pPr>
              <w:jc w:val="center"/>
            </w:pPr>
            <w:r>
              <w:t>8</w:t>
            </w:r>
          </w:p>
        </w:tc>
        <w:tc>
          <w:tcPr>
            <w:tcW w:w="6565" w:type="dxa"/>
            <w:tcBorders>
              <w:left w:val="double" w:sz="4" w:space="0" w:color="auto"/>
              <w:right w:val="nil"/>
            </w:tcBorders>
            <w:vAlign w:val="center"/>
          </w:tcPr>
          <w:p w14:paraId="1B5FCC06" w14:textId="4D908EC8" w:rsidR="00B218AD" w:rsidRPr="00943AB9" w:rsidRDefault="007D75F2" w:rsidP="00B218AD">
            <w:r>
              <w:t>Employees who</w:t>
            </w:r>
            <w:r w:rsidRPr="007D75F2">
              <w:t xml:space="preserve"> are designated as first aid providers are trained in the hazards of bloodborne pathogens. [1926.21(b)(2)]</w:t>
            </w:r>
          </w:p>
        </w:tc>
        <w:sdt>
          <w:sdtPr>
            <w:rPr>
              <w:rFonts w:cstheme="minorHAnsi"/>
              <w:sz w:val="44"/>
              <w:szCs w:val="44"/>
            </w:rPr>
            <w:id w:val="53077807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522B535" w14:textId="525CE61C"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013270779"/>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F8E807A" w14:textId="50F4919E"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33866582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8E3BA6F" w14:textId="5183453F"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tr>
      <w:tr w:rsidR="00B218AD" w14:paraId="32DBF49B" w14:textId="77777777" w:rsidTr="0085759C">
        <w:trPr>
          <w:cantSplit/>
        </w:trPr>
        <w:tc>
          <w:tcPr>
            <w:tcW w:w="630" w:type="dxa"/>
            <w:tcBorders>
              <w:left w:val="nil"/>
              <w:right w:val="double" w:sz="4" w:space="0" w:color="auto"/>
            </w:tcBorders>
            <w:vAlign w:val="center"/>
          </w:tcPr>
          <w:p w14:paraId="285A7E43" w14:textId="75A7C863" w:rsidR="00B218AD" w:rsidRPr="00943AB9" w:rsidRDefault="009A16D6" w:rsidP="00B218AD">
            <w:pPr>
              <w:jc w:val="center"/>
            </w:pPr>
            <w:r>
              <w:t>9</w:t>
            </w:r>
          </w:p>
        </w:tc>
        <w:tc>
          <w:tcPr>
            <w:tcW w:w="6565" w:type="dxa"/>
            <w:tcBorders>
              <w:left w:val="double" w:sz="4" w:space="0" w:color="auto"/>
              <w:right w:val="nil"/>
            </w:tcBorders>
            <w:vAlign w:val="center"/>
          </w:tcPr>
          <w:p w14:paraId="32AAA11D" w14:textId="5E641947" w:rsidR="00B218AD" w:rsidRPr="00943AB9" w:rsidRDefault="00B218AD" w:rsidP="00B218AD">
            <w:r w:rsidRPr="00A8401B">
              <w:t xml:space="preserve">Adequate toilets and washing facilities are provided and maintained in a clean and sanitary condition. </w:t>
            </w:r>
            <w:r w:rsidR="009A16D6" w:rsidRPr="009A16D6">
              <w:t>[1926.51(f)]</w:t>
            </w:r>
          </w:p>
        </w:tc>
        <w:sdt>
          <w:sdtPr>
            <w:rPr>
              <w:rFonts w:cstheme="minorHAnsi"/>
              <w:sz w:val="44"/>
              <w:szCs w:val="44"/>
            </w:rPr>
            <w:id w:val="-192324748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6F3A808" w14:textId="2CF44010"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60178474"/>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C821438" w14:textId="314A7C22"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41755329"/>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054E95F8" w14:textId="1188E16C" w:rsidR="00B218AD" w:rsidRDefault="00B218AD" w:rsidP="00B218AD">
                <w:pPr>
                  <w:rPr>
                    <w:rFonts w:cstheme="minorHAnsi"/>
                    <w:sz w:val="44"/>
                    <w:szCs w:val="44"/>
                  </w:rPr>
                </w:pPr>
                <w:r>
                  <w:rPr>
                    <w:rFonts w:ascii="MS Gothic" w:eastAsia="MS Gothic" w:hAnsi="MS Gothic" w:cstheme="minorHAnsi" w:hint="eastAsia"/>
                    <w:sz w:val="44"/>
                    <w:szCs w:val="44"/>
                  </w:rPr>
                  <w:t>☐</w:t>
                </w:r>
              </w:p>
            </w:tc>
          </w:sdtContent>
        </w:sdt>
      </w:tr>
      <w:tr w:rsidR="00C73A20" w14:paraId="59C7E06C" w14:textId="77777777" w:rsidTr="0085759C">
        <w:trPr>
          <w:cantSplit/>
        </w:trPr>
        <w:tc>
          <w:tcPr>
            <w:tcW w:w="630" w:type="dxa"/>
            <w:tcBorders>
              <w:left w:val="nil"/>
              <w:right w:val="double" w:sz="4" w:space="0" w:color="auto"/>
            </w:tcBorders>
            <w:vAlign w:val="center"/>
          </w:tcPr>
          <w:p w14:paraId="5BDD4994" w14:textId="0A1F0E6A" w:rsidR="00C73A20" w:rsidRDefault="00C73A20" w:rsidP="00C73A20">
            <w:pPr>
              <w:jc w:val="center"/>
            </w:pPr>
            <w:r>
              <w:t>10</w:t>
            </w:r>
          </w:p>
        </w:tc>
        <w:tc>
          <w:tcPr>
            <w:tcW w:w="6565" w:type="dxa"/>
            <w:tcBorders>
              <w:left w:val="double" w:sz="4" w:space="0" w:color="auto"/>
              <w:right w:val="nil"/>
            </w:tcBorders>
            <w:vAlign w:val="center"/>
          </w:tcPr>
          <w:p w14:paraId="535C96CB" w14:textId="1DCA96AD" w:rsidR="00C73A20" w:rsidRPr="00A8401B" w:rsidRDefault="00C73A20" w:rsidP="00C73A20">
            <w:r w:rsidRPr="00C73A20">
              <w:t>On construction jobsites, at least one toilet facility is available. [1926.51(c)(1)]</w:t>
            </w:r>
          </w:p>
        </w:tc>
        <w:sdt>
          <w:sdtPr>
            <w:rPr>
              <w:rFonts w:cstheme="minorHAnsi"/>
              <w:sz w:val="44"/>
              <w:szCs w:val="44"/>
            </w:rPr>
            <w:id w:val="5028591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211D665" w14:textId="4420E4BC"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05258877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15AA2B5" w14:textId="3CF3E573"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374890512"/>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D20AE35" w14:textId="73B64EDB"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tr>
      <w:tr w:rsidR="00C73A20" w14:paraId="552CF2E8" w14:textId="77777777" w:rsidTr="0085759C">
        <w:trPr>
          <w:cantSplit/>
        </w:trPr>
        <w:tc>
          <w:tcPr>
            <w:tcW w:w="630" w:type="dxa"/>
            <w:tcBorders>
              <w:left w:val="nil"/>
              <w:right w:val="double" w:sz="4" w:space="0" w:color="auto"/>
            </w:tcBorders>
            <w:vAlign w:val="center"/>
          </w:tcPr>
          <w:p w14:paraId="0A37AFF7" w14:textId="7172FF0C" w:rsidR="00C73A20" w:rsidRPr="00943AB9" w:rsidRDefault="00C73A20" w:rsidP="00C73A20">
            <w:pPr>
              <w:jc w:val="center"/>
            </w:pPr>
            <w:r>
              <w:lastRenderedPageBreak/>
              <w:t>11</w:t>
            </w:r>
          </w:p>
        </w:tc>
        <w:tc>
          <w:tcPr>
            <w:tcW w:w="6565" w:type="dxa"/>
            <w:tcBorders>
              <w:left w:val="double" w:sz="4" w:space="0" w:color="auto"/>
              <w:right w:val="nil"/>
            </w:tcBorders>
            <w:vAlign w:val="center"/>
          </w:tcPr>
          <w:p w14:paraId="15665DB1" w14:textId="51D34FAB" w:rsidR="00C73A20" w:rsidRPr="00943AB9" w:rsidRDefault="00C73A20" w:rsidP="00C73A20">
            <w:r w:rsidRPr="00284DCE">
              <w:t>Where corrosive liquids or materials are handled safety showers and eyewash stations are accessible.</w:t>
            </w:r>
          </w:p>
        </w:tc>
        <w:sdt>
          <w:sdtPr>
            <w:rPr>
              <w:rFonts w:cstheme="minorHAnsi"/>
              <w:sz w:val="44"/>
              <w:szCs w:val="44"/>
            </w:rPr>
            <w:id w:val="-84323730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325034E" w14:textId="3CE23F60"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3121346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DFC7D10" w14:textId="4EA60ABC"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8007566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2A568B5B" w14:textId="52F6A55D"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tr>
      <w:tr w:rsidR="00C73A20" w14:paraId="23A74E5C" w14:textId="77777777" w:rsidTr="0085759C">
        <w:trPr>
          <w:cantSplit/>
        </w:trPr>
        <w:tc>
          <w:tcPr>
            <w:tcW w:w="630" w:type="dxa"/>
            <w:tcBorders>
              <w:left w:val="nil"/>
              <w:right w:val="double" w:sz="4" w:space="0" w:color="auto"/>
            </w:tcBorders>
            <w:vAlign w:val="center"/>
          </w:tcPr>
          <w:p w14:paraId="7EA94F0A" w14:textId="597AB9F6" w:rsidR="00C73A20" w:rsidRPr="00943AB9" w:rsidRDefault="00C73A20" w:rsidP="00C73A20">
            <w:pPr>
              <w:jc w:val="center"/>
            </w:pPr>
            <w:r>
              <w:t>12</w:t>
            </w:r>
          </w:p>
        </w:tc>
        <w:tc>
          <w:tcPr>
            <w:tcW w:w="6565" w:type="dxa"/>
            <w:tcBorders>
              <w:left w:val="double" w:sz="4" w:space="0" w:color="auto"/>
              <w:right w:val="nil"/>
            </w:tcBorders>
            <w:vAlign w:val="center"/>
          </w:tcPr>
          <w:p w14:paraId="404A2C8B" w14:textId="344B1BF0" w:rsidR="00C73A20" w:rsidRPr="00943AB9" w:rsidRDefault="00C73A20" w:rsidP="00C73A20">
            <w:r w:rsidRPr="00850B2D">
              <w:t>Safety showers and eyewash stations are inspected at least monthly.</w:t>
            </w:r>
          </w:p>
        </w:tc>
        <w:sdt>
          <w:sdtPr>
            <w:rPr>
              <w:rFonts w:cstheme="minorHAnsi"/>
              <w:sz w:val="44"/>
              <w:szCs w:val="44"/>
            </w:rPr>
            <w:id w:val="92538411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89B9859" w14:textId="7DAC37EF"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1670601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43095F5" w14:textId="52EAD624"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87230152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6F582C9" w14:textId="162608E9"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tr>
      <w:tr w:rsidR="00C73A20" w14:paraId="0B3F577F" w14:textId="77777777" w:rsidTr="0085759C">
        <w:trPr>
          <w:cantSplit/>
        </w:trPr>
        <w:tc>
          <w:tcPr>
            <w:tcW w:w="630" w:type="dxa"/>
            <w:tcBorders>
              <w:left w:val="nil"/>
              <w:right w:val="double" w:sz="4" w:space="0" w:color="auto"/>
            </w:tcBorders>
            <w:vAlign w:val="center"/>
          </w:tcPr>
          <w:p w14:paraId="2F85387E" w14:textId="426F05B5" w:rsidR="00C73A20" w:rsidRPr="00943AB9" w:rsidRDefault="00C73A20" w:rsidP="00C73A20">
            <w:pPr>
              <w:jc w:val="center"/>
            </w:pPr>
            <w:r>
              <w:t>13</w:t>
            </w:r>
          </w:p>
        </w:tc>
        <w:tc>
          <w:tcPr>
            <w:tcW w:w="6565" w:type="dxa"/>
            <w:tcBorders>
              <w:left w:val="double" w:sz="4" w:space="0" w:color="auto"/>
              <w:right w:val="nil"/>
            </w:tcBorders>
            <w:vAlign w:val="center"/>
          </w:tcPr>
          <w:p w14:paraId="24D5041B" w14:textId="63E333F2" w:rsidR="00C73A20" w:rsidRPr="00943AB9" w:rsidRDefault="00C73A20" w:rsidP="00C73A20">
            <w:r w:rsidRPr="00A02620">
              <w:t>If respirators are necessary or required, there is a written respiratory protection program in place. [1910.134(c)(1)]</w:t>
            </w:r>
          </w:p>
        </w:tc>
        <w:sdt>
          <w:sdtPr>
            <w:rPr>
              <w:rFonts w:cstheme="minorHAnsi"/>
              <w:sz w:val="44"/>
              <w:szCs w:val="44"/>
            </w:rPr>
            <w:id w:val="35184048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B0B3A7B" w14:textId="256500B0"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94933415"/>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8CF3CC7" w14:textId="2ED82A58"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76109741"/>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615B6BB1" w14:textId="35DD339B"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tr>
      <w:tr w:rsidR="00C73A20" w14:paraId="62D68BD6" w14:textId="77777777" w:rsidTr="0085759C">
        <w:trPr>
          <w:cantSplit/>
        </w:trPr>
        <w:tc>
          <w:tcPr>
            <w:tcW w:w="630" w:type="dxa"/>
            <w:tcBorders>
              <w:left w:val="nil"/>
              <w:right w:val="double" w:sz="4" w:space="0" w:color="auto"/>
            </w:tcBorders>
            <w:vAlign w:val="center"/>
          </w:tcPr>
          <w:p w14:paraId="675964F6" w14:textId="42B7582D" w:rsidR="00C73A20" w:rsidRPr="00943AB9" w:rsidRDefault="00C73A20" w:rsidP="00C73A20">
            <w:pPr>
              <w:jc w:val="center"/>
            </w:pPr>
            <w:r>
              <w:t>14</w:t>
            </w:r>
          </w:p>
        </w:tc>
        <w:tc>
          <w:tcPr>
            <w:tcW w:w="6565" w:type="dxa"/>
            <w:tcBorders>
              <w:left w:val="double" w:sz="4" w:space="0" w:color="auto"/>
              <w:right w:val="nil"/>
            </w:tcBorders>
            <w:vAlign w:val="center"/>
          </w:tcPr>
          <w:p w14:paraId="6B83165E" w14:textId="1D957066" w:rsidR="00C73A20" w:rsidRPr="00943AB9" w:rsidRDefault="00E84EF0" w:rsidP="00C73A20">
            <w:r w:rsidRPr="00E84EF0">
              <w:t>When workers may be exposed to any toxic or hazardous substances (examples: asbestos, lead, silica), a respiratory protection program and a medical surveillance program are in place.</w:t>
            </w:r>
          </w:p>
        </w:tc>
        <w:sdt>
          <w:sdtPr>
            <w:rPr>
              <w:rFonts w:cstheme="minorHAnsi"/>
              <w:sz w:val="44"/>
              <w:szCs w:val="44"/>
            </w:rPr>
            <w:id w:val="197601841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EFE0EA9" w14:textId="7334E1AB"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10869920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13851C46" w14:textId="4EC244AC"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1368473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49A69B7" w14:textId="0DD15587"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tr>
      <w:tr w:rsidR="00C73A20" w14:paraId="2D9200E8" w14:textId="77777777" w:rsidTr="0085759C">
        <w:trPr>
          <w:cantSplit/>
        </w:trPr>
        <w:tc>
          <w:tcPr>
            <w:tcW w:w="630" w:type="dxa"/>
            <w:tcBorders>
              <w:left w:val="nil"/>
              <w:right w:val="double" w:sz="4" w:space="0" w:color="auto"/>
            </w:tcBorders>
            <w:vAlign w:val="center"/>
          </w:tcPr>
          <w:p w14:paraId="15242932" w14:textId="3E2484D4" w:rsidR="00C73A20" w:rsidRPr="00943AB9" w:rsidRDefault="00C73A20" w:rsidP="00C73A20">
            <w:pPr>
              <w:jc w:val="center"/>
            </w:pPr>
            <w:r>
              <w:t>15</w:t>
            </w:r>
          </w:p>
        </w:tc>
        <w:tc>
          <w:tcPr>
            <w:tcW w:w="6565" w:type="dxa"/>
            <w:tcBorders>
              <w:left w:val="double" w:sz="4" w:space="0" w:color="auto"/>
              <w:right w:val="nil"/>
            </w:tcBorders>
            <w:vAlign w:val="center"/>
          </w:tcPr>
          <w:p w14:paraId="274D31EA" w14:textId="2F994043" w:rsidR="00C73A20" w:rsidRPr="00943AB9" w:rsidRDefault="00C73A20" w:rsidP="00C73A20">
            <w:r w:rsidRPr="006F0C89">
              <w:t xml:space="preserve">If employee noise exposures equal or excel an 8-hour time-weighted average sound level (TWA) of 85 decibels, an ongoing preventive hearing conservation program is in place to educate workers about safe levels of noise, exposures, effects of noise on their health, and the use of personal protection. </w:t>
            </w:r>
            <w:r w:rsidR="00AC7E4C" w:rsidRPr="00AC7E4C">
              <w:t>[1926.52(d)(1)]</w:t>
            </w:r>
          </w:p>
        </w:tc>
        <w:sdt>
          <w:sdtPr>
            <w:rPr>
              <w:rFonts w:cstheme="minorHAnsi"/>
              <w:sz w:val="44"/>
              <w:szCs w:val="44"/>
            </w:rPr>
            <w:id w:val="-35042947"/>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780B42D" w14:textId="753AC350"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48950723"/>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7F8CF7D6" w14:textId="6A63D815"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711686776"/>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5E0CD69C" w14:textId="13659FEF"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tr>
      <w:tr w:rsidR="00C73A20" w14:paraId="6982DAD1" w14:textId="77777777" w:rsidTr="0085759C">
        <w:trPr>
          <w:cantSplit/>
        </w:trPr>
        <w:tc>
          <w:tcPr>
            <w:tcW w:w="630" w:type="dxa"/>
            <w:tcBorders>
              <w:left w:val="nil"/>
              <w:right w:val="double" w:sz="4" w:space="0" w:color="auto"/>
            </w:tcBorders>
            <w:vAlign w:val="center"/>
          </w:tcPr>
          <w:p w14:paraId="1221CE57" w14:textId="5444A0C2" w:rsidR="00C73A20" w:rsidRPr="00943AB9" w:rsidRDefault="00C73A20" w:rsidP="00C73A20">
            <w:pPr>
              <w:jc w:val="center"/>
            </w:pPr>
            <w:r>
              <w:t>16</w:t>
            </w:r>
          </w:p>
        </w:tc>
        <w:tc>
          <w:tcPr>
            <w:tcW w:w="6565" w:type="dxa"/>
            <w:tcBorders>
              <w:left w:val="double" w:sz="4" w:space="0" w:color="auto"/>
              <w:right w:val="nil"/>
            </w:tcBorders>
            <w:vAlign w:val="center"/>
          </w:tcPr>
          <w:p w14:paraId="35F5A48A" w14:textId="1B9B7DCC" w:rsidR="00C73A20" w:rsidRPr="00943AB9" w:rsidRDefault="00C73A20" w:rsidP="00C73A20">
            <w:r w:rsidRPr="003B3B45">
              <w:t xml:space="preserve">Medical records and exposure records are maintained as required. </w:t>
            </w:r>
            <w:r w:rsidR="004E5127" w:rsidRPr="003B3B45">
              <w:t>[1926.33]</w:t>
            </w:r>
          </w:p>
        </w:tc>
        <w:sdt>
          <w:sdtPr>
            <w:rPr>
              <w:rFonts w:cstheme="minorHAnsi"/>
              <w:sz w:val="44"/>
              <w:szCs w:val="44"/>
            </w:rPr>
            <w:id w:val="-507984381"/>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2BB6202B" w14:textId="27550483"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110264977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04FCE9E4" w14:textId="039AE6F7"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440536223"/>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75A58240" w14:textId="689B4F3F"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tr>
      <w:tr w:rsidR="00C73A20" w14:paraId="4315ACAE" w14:textId="77777777" w:rsidTr="0085759C">
        <w:trPr>
          <w:cantSplit/>
        </w:trPr>
        <w:tc>
          <w:tcPr>
            <w:tcW w:w="630" w:type="dxa"/>
            <w:tcBorders>
              <w:left w:val="nil"/>
              <w:right w:val="double" w:sz="4" w:space="0" w:color="auto"/>
            </w:tcBorders>
            <w:vAlign w:val="center"/>
          </w:tcPr>
          <w:p w14:paraId="1E2D8FF5" w14:textId="6790E342" w:rsidR="00C73A20" w:rsidRPr="00943AB9" w:rsidRDefault="00C73A20" w:rsidP="00C73A20">
            <w:pPr>
              <w:jc w:val="center"/>
            </w:pPr>
            <w:r>
              <w:t>17</w:t>
            </w:r>
          </w:p>
        </w:tc>
        <w:tc>
          <w:tcPr>
            <w:tcW w:w="6565" w:type="dxa"/>
            <w:tcBorders>
              <w:left w:val="double" w:sz="4" w:space="0" w:color="auto"/>
              <w:right w:val="nil"/>
            </w:tcBorders>
            <w:vAlign w:val="center"/>
          </w:tcPr>
          <w:p w14:paraId="54F8772E" w14:textId="77693F9F" w:rsidR="00C73A20" w:rsidRPr="00943AB9" w:rsidRDefault="00C73A20" w:rsidP="00C73A20">
            <w:r w:rsidRPr="003B3B45">
              <w:t>There is a substance abuse policy in place.</w:t>
            </w:r>
          </w:p>
        </w:tc>
        <w:sdt>
          <w:sdtPr>
            <w:rPr>
              <w:rFonts w:cstheme="minorHAnsi"/>
              <w:sz w:val="44"/>
              <w:szCs w:val="44"/>
            </w:rPr>
            <w:id w:val="1397173578"/>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5B00FCFF" w14:textId="046D20C7"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822968860"/>
            <w15:appearance w15:val="hidden"/>
            <w14:checkbox>
              <w14:checked w14:val="0"/>
              <w14:checkedState w14:val="2611" w14:font="MS UI Gothic"/>
              <w14:uncheckedState w14:val="2610" w14:font="MS Gothic"/>
            </w14:checkbox>
          </w:sdtPr>
          <w:sdtEndPr/>
          <w:sdtContent>
            <w:tc>
              <w:tcPr>
                <w:tcW w:w="720" w:type="dxa"/>
                <w:tcBorders>
                  <w:left w:val="nil"/>
                  <w:right w:val="nil"/>
                </w:tcBorders>
                <w:vAlign w:val="center"/>
              </w:tcPr>
              <w:p w14:paraId="4FF6A1F2" w14:textId="698F167B"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sdt>
          <w:sdtPr>
            <w:rPr>
              <w:rFonts w:cstheme="minorHAnsi"/>
              <w:sz w:val="44"/>
              <w:szCs w:val="44"/>
            </w:rPr>
            <w:id w:val="-22405950"/>
            <w15:appearance w15:val="hidden"/>
            <w14:checkbox>
              <w14:checked w14:val="0"/>
              <w14:checkedState w14:val="2611" w14:font="MS UI Gothic"/>
              <w14:uncheckedState w14:val="2610" w14:font="MS Gothic"/>
            </w14:checkbox>
          </w:sdtPr>
          <w:sdtEndPr/>
          <w:sdtContent>
            <w:tc>
              <w:tcPr>
                <w:tcW w:w="720" w:type="dxa"/>
                <w:tcBorders>
                  <w:left w:val="nil"/>
                </w:tcBorders>
                <w:vAlign w:val="center"/>
              </w:tcPr>
              <w:p w14:paraId="43AF9C8D" w14:textId="315E629F" w:rsidR="00C73A20" w:rsidRDefault="00C73A20" w:rsidP="00C73A20">
                <w:pPr>
                  <w:rPr>
                    <w:rFonts w:cstheme="minorHAnsi"/>
                    <w:sz w:val="44"/>
                    <w:szCs w:val="44"/>
                  </w:rPr>
                </w:pPr>
                <w:r>
                  <w:rPr>
                    <w:rFonts w:ascii="MS Gothic" w:eastAsia="MS Gothic" w:hAnsi="MS Gothic" w:cstheme="minorHAnsi" w:hint="eastAsia"/>
                    <w:sz w:val="44"/>
                    <w:szCs w:val="44"/>
                  </w:rPr>
                  <w:t>☐</w:t>
                </w:r>
              </w:p>
            </w:tc>
          </w:sdtContent>
        </w:sdt>
      </w:tr>
    </w:tbl>
    <w:p w14:paraId="2837EC2E" w14:textId="3565FAFA" w:rsidR="00AB3F41" w:rsidRDefault="00AB3F41"/>
    <w:tbl>
      <w:tblPr>
        <w:tblStyle w:val="TableGrid"/>
        <w:tblW w:w="9360" w:type="dxa"/>
        <w:tblCellMar>
          <w:top w:w="115" w:type="dxa"/>
          <w:left w:w="144" w:type="dxa"/>
          <w:bottom w:w="115" w:type="dxa"/>
          <w:right w:w="144" w:type="dxa"/>
        </w:tblCellMar>
        <w:tblLook w:val="04A0" w:firstRow="1" w:lastRow="0" w:firstColumn="1" w:lastColumn="0" w:noHBand="0" w:noVBand="1"/>
      </w:tblPr>
      <w:tblGrid>
        <w:gridCol w:w="9360"/>
      </w:tblGrid>
      <w:tr w:rsidR="00A03EBA" w14:paraId="63B0AC20" w14:textId="77777777" w:rsidTr="00C4392B">
        <w:trPr>
          <w:trHeight w:val="288"/>
        </w:trPr>
        <w:tc>
          <w:tcPr>
            <w:tcW w:w="9360" w:type="dxa"/>
            <w:tcBorders>
              <w:bottom w:val="nil"/>
            </w:tcBorders>
          </w:tcPr>
          <w:p w14:paraId="1B213310" w14:textId="6AF793BD" w:rsidR="00A03EBA" w:rsidRPr="00194F99" w:rsidRDefault="00536AEB">
            <w:pPr>
              <w:rPr>
                <w:sz w:val="24"/>
                <w:szCs w:val="24"/>
              </w:rPr>
            </w:pPr>
            <w:r w:rsidRPr="00194F99">
              <w:rPr>
                <w:sz w:val="24"/>
                <w:szCs w:val="24"/>
              </w:rPr>
              <w:t xml:space="preserve">Action Needed Items and Additional </w:t>
            </w:r>
            <w:r w:rsidR="00A03EBA" w:rsidRPr="00194F99">
              <w:rPr>
                <w:sz w:val="24"/>
                <w:szCs w:val="24"/>
              </w:rPr>
              <w:t>Notes</w:t>
            </w:r>
            <w:r w:rsidRPr="00194F99">
              <w:rPr>
                <w:sz w:val="24"/>
                <w:szCs w:val="24"/>
              </w:rPr>
              <w:t>:</w:t>
            </w:r>
          </w:p>
        </w:tc>
      </w:tr>
      <w:tr w:rsidR="00CB5C04" w14:paraId="46ECCCC0" w14:textId="77777777" w:rsidTr="004E5127">
        <w:trPr>
          <w:trHeight w:val="3168"/>
        </w:trPr>
        <w:tc>
          <w:tcPr>
            <w:tcW w:w="9360" w:type="dxa"/>
            <w:tcBorders>
              <w:top w:val="nil"/>
            </w:tcBorders>
          </w:tcPr>
          <w:p w14:paraId="08EB5371" w14:textId="1A8463B4" w:rsidR="00CB5C04" w:rsidRDefault="00CB5C04"/>
        </w:tc>
      </w:tr>
    </w:tbl>
    <w:p w14:paraId="4A6B113B" w14:textId="407E6364" w:rsidR="00A31FBA" w:rsidRPr="00605355" w:rsidRDefault="00A31FBA" w:rsidP="00F729D9">
      <w:pPr>
        <w:spacing w:before="120"/>
        <w:jc w:val="center"/>
        <w:rPr>
          <w:i/>
          <w:iCs/>
          <w:sz w:val="13"/>
          <w:szCs w:val="13"/>
        </w:rPr>
      </w:pPr>
      <w:r w:rsidRPr="00605355">
        <w:rPr>
          <w:i/>
          <w:iCs/>
          <w:sz w:val="13"/>
          <w:szCs w:val="13"/>
        </w:rPr>
        <w:t xml:space="preserve">This </w:t>
      </w:r>
      <w:r w:rsidR="00605355">
        <w:rPr>
          <w:i/>
          <w:iCs/>
          <w:sz w:val="13"/>
          <w:szCs w:val="13"/>
        </w:rPr>
        <w:t xml:space="preserve">document </w:t>
      </w:r>
      <w:r w:rsidRPr="00605355">
        <w:rPr>
          <w:i/>
          <w:iCs/>
          <w:sz w:val="13"/>
          <w:szCs w:val="13"/>
        </w:rPr>
        <w:t>may not be comprehensive for the requirements of the workforce or facility being evaluated. Weeklysafety.com does not assume liability for damage or injury presumed</w:t>
      </w:r>
      <w:r w:rsidR="00605355" w:rsidRPr="00605355">
        <w:rPr>
          <w:i/>
          <w:iCs/>
          <w:sz w:val="13"/>
          <w:szCs w:val="13"/>
        </w:rPr>
        <w:t xml:space="preserve"> to be caused by use of this document. Use of this document does not guarantee conformity with any laws or regulations, nor does it ensure absolute workplace safety.</w:t>
      </w:r>
    </w:p>
    <w:sectPr w:rsidR="00A31FBA" w:rsidRPr="00605355" w:rsidSect="005933B5">
      <w:headerReference w:type="default" r:id="rId6"/>
      <w:footerReference w:type="default" r:id="rId7"/>
      <w:pgSz w:w="12240" w:h="15840" w:code="1"/>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962D" w14:textId="77777777" w:rsidR="00BD54D7" w:rsidRDefault="00BD54D7" w:rsidP="00486691">
      <w:pPr>
        <w:spacing w:after="0" w:line="240" w:lineRule="auto"/>
      </w:pPr>
      <w:r>
        <w:separator/>
      </w:r>
    </w:p>
  </w:endnote>
  <w:endnote w:type="continuationSeparator" w:id="0">
    <w:p w14:paraId="78BE4DAB" w14:textId="77777777" w:rsidR="00BD54D7" w:rsidRDefault="00BD54D7" w:rsidP="0048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3378"/>
      <w:docPartObj>
        <w:docPartGallery w:val="Page Numbers (Bottom of Page)"/>
        <w:docPartUnique/>
      </w:docPartObj>
    </w:sdtPr>
    <w:sdtEndPr/>
    <w:sdtContent>
      <w:sdt>
        <w:sdtPr>
          <w:id w:val="-1769616900"/>
          <w:docPartObj>
            <w:docPartGallery w:val="Page Numbers (Top of Page)"/>
            <w:docPartUnique/>
          </w:docPartObj>
        </w:sdtPr>
        <w:sdtEndPr/>
        <w:sdtContent>
          <w:p w14:paraId="423AB33C" w14:textId="4AE69AAB" w:rsidR="00711224" w:rsidRDefault="007922FA" w:rsidP="005933B5">
            <w:pPr>
              <w:pStyle w:val="Footer"/>
              <w:spacing w:before="240"/>
              <w:jc w:val="right"/>
            </w:pPr>
            <w:r>
              <w:rPr>
                <w:noProof/>
              </w:rPr>
              <w:drawing>
                <wp:anchor distT="0" distB="0" distL="114300" distR="114300" simplePos="0" relativeHeight="251658240" behindDoc="0" locked="0" layoutInCell="1" allowOverlap="1" wp14:anchorId="7EC3BEC5" wp14:editId="5AD3A66F">
                  <wp:simplePos x="0" y="0"/>
                  <wp:positionH relativeFrom="margin">
                    <wp:align>center</wp:align>
                  </wp:positionH>
                  <wp:positionV relativeFrom="paragraph">
                    <wp:posOffset>15240</wp:posOffset>
                  </wp:positionV>
                  <wp:extent cx="1452950" cy="438912"/>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2950" cy="438912"/>
                          </a:xfrm>
                          <a:prstGeom prst="rect">
                            <a:avLst/>
                          </a:prstGeom>
                        </pic:spPr>
                      </pic:pic>
                    </a:graphicData>
                  </a:graphic>
                  <wp14:sizeRelV relativeFrom="margin">
                    <wp14:pctHeight>0</wp14:pctHeight>
                  </wp14:sizeRelV>
                </wp:anchor>
              </w:drawing>
            </w:r>
            <w:r w:rsidR="00711224">
              <w:t xml:space="preserve">Page </w:t>
            </w:r>
            <w:r w:rsidR="00711224">
              <w:rPr>
                <w:b/>
                <w:bCs/>
                <w:sz w:val="24"/>
                <w:szCs w:val="24"/>
              </w:rPr>
              <w:fldChar w:fldCharType="begin"/>
            </w:r>
            <w:r w:rsidR="00711224">
              <w:rPr>
                <w:b/>
                <w:bCs/>
              </w:rPr>
              <w:instrText xml:space="preserve"> PAGE </w:instrText>
            </w:r>
            <w:r w:rsidR="00711224">
              <w:rPr>
                <w:b/>
                <w:bCs/>
                <w:sz w:val="24"/>
                <w:szCs w:val="24"/>
              </w:rPr>
              <w:fldChar w:fldCharType="separate"/>
            </w:r>
            <w:r w:rsidR="00711224">
              <w:rPr>
                <w:b/>
                <w:bCs/>
                <w:noProof/>
              </w:rPr>
              <w:t>2</w:t>
            </w:r>
            <w:r w:rsidR="00711224">
              <w:rPr>
                <w:b/>
                <w:bCs/>
                <w:sz w:val="24"/>
                <w:szCs w:val="24"/>
              </w:rPr>
              <w:fldChar w:fldCharType="end"/>
            </w:r>
            <w:r w:rsidR="00711224">
              <w:t xml:space="preserve"> of </w:t>
            </w:r>
            <w:r w:rsidR="00711224">
              <w:rPr>
                <w:b/>
                <w:bCs/>
                <w:sz w:val="24"/>
                <w:szCs w:val="24"/>
              </w:rPr>
              <w:fldChar w:fldCharType="begin"/>
            </w:r>
            <w:r w:rsidR="00711224">
              <w:rPr>
                <w:b/>
                <w:bCs/>
              </w:rPr>
              <w:instrText xml:space="preserve"> NUMPAGES  </w:instrText>
            </w:r>
            <w:r w:rsidR="00711224">
              <w:rPr>
                <w:b/>
                <w:bCs/>
                <w:sz w:val="24"/>
                <w:szCs w:val="24"/>
              </w:rPr>
              <w:fldChar w:fldCharType="separate"/>
            </w:r>
            <w:r w:rsidR="00711224">
              <w:rPr>
                <w:b/>
                <w:bCs/>
                <w:noProof/>
              </w:rPr>
              <w:t>2</w:t>
            </w:r>
            <w:r w:rsidR="00711224">
              <w:rPr>
                <w:b/>
                <w:bCs/>
                <w:sz w:val="24"/>
                <w:szCs w:val="24"/>
              </w:rPr>
              <w:fldChar w:fldCharType="end"/>
            </w:r>
          </w:p>
        </w:sdtContent>
      </w:sdt>
    </w:sdtContent>
  </w:sdt>
  <w:p w14:paraId="229915F7" w14:textId="06AD8C28" w:rsidR="0020701E" w:rsidRDefault="0020701E" w:rsidP="00AB3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2550" w14:textId="77777777" w:rsidR="00BD54D7" w:rsidRDefault="00BD54D7" w:rsidP="00486691">
      <w:pPr>
        <w:spacing w:after="0" w:line="240" w:lineRule="auto"/>
      </w:pPr>
      <w:r>
        <w:separator/>
      </w:r>
    </w:p>
  </w:footnote>
  <w:footnote w:type="continuationSeparator" w:id="0">
    <w:p w14:paraId="2152E690" w14:textId="77777777" w:rsidR="00BD54D7" w:rsidRDefault="00BD54D7" w:rsidP="0048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5D87" w14:textId="2532129E" w:rsidR="00D33578" w:rsidRDefault="003209D2" w:rsidP="0020701E">
    <w:pPr>
      <w:pStyle w:val="Header"/>
      <w:jc w:val="center"/>
      <w:rPr>
        <w:rFonts w:ascii="Verdana" w:hAnsi="Verdana"/>
        <w:b/>
        <w:bCs/>
        <w:sz w:val="36"/>
        <w:szCs w:val="36"/>
      </w:rPr>
    </w:pPr>
    <w:r>
      <w:rPr>
        <w:rFonts w:ascii="Verdana" w:hAnsi="Verdana"/>
        <w:b/>
        <w:bCs/>
        <w:sz w:val="36"/>
        <w:szCs w:val="36"/>
      </w:rPr>
      <w:t>MEDICAL, HEALTH, AND FIRST AID</w:t>
    </w:r>
  </w:p>
  <w:p w14:paraId="7B83B3E6" w14:textId="53D63984" w:rsidR="003209D2" w:rsidRDefault="003209D2" w:rsidP="0020701E">
    <w:pPr>
      <w:pStyle w:val="Header"/>
      <w:jc w:val="center"/>
      <w:rPr>
        <w:rFonts w:ascii="Verdana" w:hAnsi="Verdana"/>
        <w:b/>
        <w:bCs/>
        <w:sz w:val="36"/>
        <w:szCs w:val="36"/>
      </w:rPr>
    </w:pPr>
    <w:r>
      <w:rPr>
        <w:rFonts w:ascii="Verdana" w:hAnsi="Verdana"/>
        <w:b/>
        <w:bCs/>
        <w:sz w:val="36"/>
        <w:szCs w:val="36"/>
      </w:rPr>
      <w:t>CHECKLIST</w:t>
    </w:r>
    <w:r w:rsidR="004755EA">
      <w:rPr>
        <w:rFonts w:ascii="Verdana" w:hAnsi="Verdana"/>
        <w:b/>
        <w:bCs/>
        <w:sz w:val="36"/>
        <w:szCs w:val="36"/>
      </w:rPr>
      <w:t xml:space="preserve"> FOR CONSTRUCTION</w:t>
    </w:r>
  </w:p>
  <w:p w14:paraId="1FEFCECC" w14:textId="77777777" w:rsidR="003209D2" w:rsidRPr="0020701E" w:rsidRDefault="003209D2" w:rsidP="0020701E">
    <w:pPr>
      <w:pStyle w:val="Header"/>
      <w:jc w:val="center"/>
      <w:rPr>
        <w:rFonts w:ascii="Verdana" w:hAnsi="Verdana"/>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91"/>
    <w:rsid w:val="00017256"/>
    <w:rsid w:val="000311B9"/>
    <w:rsid w:val="00040E34"/>
    <w:rsid w:val="00053231"/>
    <w:rsid w:val="00057A41"/>
    <w:rsid w:val="000641C3"/>
    <w:rsid w:val="00084329"/>
    <w:rsid w:val="00085A2E"/>
    <w:rsid w:val="00092DA9"/>
    <w:rsid w:val="0009410E"/>
    <w:rsid w:val="000F46CE"/>
    <w:rsid w:val="001059F9"/>
    <w:rsid w:val="001346B8"/>
    <w:rsid w:val="001372CE"/>
    <w:rsid w:val="001464AA"/>
    <w:rsid w:val="001856B7"/>
    <w:rsid w:val="00187007"/>
    <w:rsid w:val="001900BA"/>
    <w:rsid w:val="00194F99"/>
    <w:rsid w:val="001970D2"/>
    <w:rsid w:val="001A3256"/>
    <w:rsid w:val="001B3392"/>
    <w:rsid w:val="001C6CE5"/>
    <w:rsid w:val="001D0979"/>
    <w:rsid w:val="001D6C42"/>
    <w:rsid w:val="001E4E5A"/>
    <w:rsid w:val="0020701E"/>
    <w:rsid w:val="00234533"/>
    <w:rsid w:val="00234E3B"/>
    <w:rsid w:val="00236FB4"/>
    <w:rsid w:val="00240110"/>
    <w:rsid w:val="00266377"/>
    <w:rsid w:val="00266689"/>
    <w:rsid w:val="00282071"/>
    <w:rsid w:val="00284DCE"/>
    <w:rsid w:val="002B1F6B"/>
    <w:rsid w:val="002F0228"/>
    <w:rsid w:val="00320613"/>
    <w:rsid w:val="003209D2"/>
    <w:rsid w:val="00327886"/>
    <w:rsid w:val="00355C6B"/>
    <w:rsid w:val="003577CF"/>
    <w:rsid w:val="00386C9E"/>
    <w:rsid w:val="003A1358"/>
    <w:rsid w:val="003A5851"/>
    <w:rsid w:val="003A5D3A"/>
    <w:rsid w:val="003B1EEC"/>
    <w:rsid w:val="003E016B"/>
    <w:rsid w:val="004020F9"/>
    <w:rsid w:val="00406092"/>
    <w:rsid w:val="00410267"/>
    <w:rsid w:val="004146D2"/>
    <w:rsid w:val="00416384"/>
    <w:rsid w:val="004227EB"/>
    <w:rsid w:val="00424471"/>
    <w:rsid w:val="004537A2"/>
    <w:rsid w:val="004755EA"/>
    <w:rsid w:val="00486691"/>
    <w:rsid w:val="004939E5"/>
    <w:rsid w:val="004A00A2"/>
    <w:rsid w:val="004A10BD"/>
    <w:rsid w:val="004D197B"/>
    <w:rsid w:val="004E0BA3"/>
    <w:rsid w:val="004E5127"/>
    <w:rsid w:val="00510FA8"/>
    <w:rsid w:val="00515382"/>
    <w:rsid w:val="00535978"/>
    <w:rsid w:val="00535BA2"/>
    <w:rsid w:val="00536AEB"/>
    <w:rsid w:val="00542E0D"/>
    <w:rsid w:val="00547D0D"/>
    <w:rsid w:val="00581312"/>
    <w:rsid w:val="00585D51"/>
    <w:rsid w:val="00592AE2"/>
    <w:rsid w:val="005933B5"/>
    <w:rsid w:val="005B7203"/>
    <w:rsid w:val="005D7EEA"/>
    <w:rsid w:val="006018A6"/>
    <w:rsid w:val="00605355"/>
    <w:rsid w:val="006127DA"/>
    <w:rsid w:val="00621659"/>
    <w:rsid w:val="006420D7"/>
    <w:rsid w:val="00667221"/>
    <w:rsid w:val="0067355C"/>
    <w:rsid w:val="00677E6F"/>
    <w:rsid w:val="00691611"/>
    <w:rsid w:val="006A3EC8"/>
    <w:rsid w:val="006C2807"/>
    <w:rsid w:val="006E3493"/>
    <w:rsid w:val="006F0BDA"/>
    <w:rsid w:val="006F0C89"/>
    <w:rsid w:val="006F1348"/>
    <w:rsid w:val="006F6C08"/>
    <w:rsid w:val="00707A06"/>
    <w:rsid w:val="00711224"/>
    <w:rsid w:val="007141C9"/>
    <w:rsid w:val="0071434E"/>
    <w:rsid w:val="0072211C"/>
    <w:rsid w:val="007254A1"/>
    <w:rsid w:val="0073021E"/>
    <w:rsid w:val="007401E3"/>
    <w:rsid w:val="0074435A"/>
    <w:rsid w:val="007527B9"/>
    <w:rsid w:val="00764C68"/>
    <w:rsid w:val="00771BCE"/>
    <w:rsid w:val="00781490"/>
    <w:rsid w:val="007922FA"/>
    <w:rsid w:val="007A323F"/>
    <w:rsid w:val="007A4256"/>
    <w:rsid w:val="007D3750"/>
    <w:rsid w:val="007D5730"/>
    <w:rsid w:val="007D75F2"/>
    <w:rsid w:val="007F5077"/>
    <w:rsid w:val="0080301B"/>
    <w:rsid w:val="0080301E"/>
    <w:rsid w:val="008046A2"/>
    <w:rsid w:val="00821CDD"/>
    <w:rsid w:val="00835BD1"/>
    <w:rsid w:val="00840156"/>
    <w:rsid w:val="00850B2D"/>
    <w:rsid w:val="0085759C"/>
    <w:rsid w:val="00861D9C"/>
    <w:rsid w:val="00864D35"/>
    <w:rsid w:val="0088693D"/>
    <w:rsid w:val="008C3185"/>
    <w:rsid w:val="008C3FFE"/>
    <w:rsid w:val="008C4C1B"/>
    <w:rsid w:val="008F05CC"/>
    <w:rsid w:val="008F2E07"/>
    <w:rsid w:val="008F3159"/>
    <w:rsid w:val="00900E7F"/>
    <w:rsid w:val="00915D1F"/>
    <w:rsid w:val="00924FA0"/>
    <w:rsid w:val="00935716"/>
    <w:rsid w:val="00935AB7"/>
    <w:rsid w:val="00941ABD"/>
    <w:rsid w:val="00943AB9"/>
    <w:rsid w:val="00946D40"/>
    <w:rsid w:val="00955D84"/>
    <w:rsid w:val="00957FC4"/>
    <w:rsid w:val="00971B65"/>
    <w:rsid w:val="00972923"/>
    <w:rsid w:val="009A16D6"/>
    <w:rsid w:val="009A624E"/>
    <w:rsid w:val="009B5724"/>
    <w:rsid w:val="009B6CC3"/>
    <w:rsid w:val="009C2D9E"/>
    <w:rsid w:val="009C7E51"/>
    <w:rsid w:val="009C7FBE"/>
    <w:rsid w:val="009D713A"/>
    <w:rsid w:val="009D7B40"/>
    <w:rsid w:val="009E3BE9"/>
    <w:rsid w:val="009F565B"/>
    <w:rsid w:val="00A02620"/>
    <w:rsid w:val="00A0381B"/>
    <w:rsid w:val="00A03EBA"/>
    <w:rsid w:val="00A264BC"/>
    <w:rsid w:val="00A31FBA"/>
    <w:rsid w:val="00A53D9B"/>
    <w:rsid w:val="00A82FEF"/>
    <w:rsid w:val="00A8401B"/>
    <w:rsid w:val="00A96DF4"/>
    <w:rsid w:val="00AA487A"/>
    <w:rsid w:val="00AB3F41"/>
    <w:rsid w:val="00AC7E4C"/>
    <w:rsid w:val="00AE26A3"/>
    <w:rsid w:val="00B218AD"/>
    <w:rsid w:val="00B340A9"/>
    <w:rsid w:val="00B64D46"/>
    <w:rsid w:val="00B76424"/>
    <w:rsid w:val="00B829EA"/>
    <w:rsid w:val="00B847F6"/>
    <w:rsid w:val="00B86037"/>
    <w:rsid w:val="00B97408"/>
    <w:rsid w:val="00BD54D7"/>
    <w:rsid w:val="00BD63A6"/>
    <w:rsid w:val="00BE1124"/>
    <w:rsid w:val="00BF262F"/>
    <w:rsid w:val="00C00079"/>
    <w:rsid w:val="00C039F8"/>
    <w:rsid w:val="00C16FAA"/>
    <w:rsid w:val="00C2227C"/>
    <w:rsid w:val="00C22715"/>
    <w:rsid w:val="00C307BD"/>
    <w:rsid w:val="00C4392B"/>
    <w:rsid w:val="00C45D19"/>
    <w:rsid w:val="00C54E15"/>
    <w:rsid w:val="00C629CA"/>
    <w:rsid w:val="00C716DB"/>
    <w:rsid w:val="00C7347C"/>
    <w:rsid w:val="00C73A20"/>
    <w:rsid w:val="00CB46F7"/>
    <w:rsid w:val="00CB5C04"/>
    <w:rsid w:val="00CC19D8"/>
    <w:rsid w:val="00CD3F13"/>
    <w:rsid w:val="00CE44A1"/>
    <w:rsid w:val="00CF105C"/>
    <w:rsid w:val="00CF1187"/>
    <w:rsid w:val="00CF14B1"/>
    <w:rsid w:val="00D154E7"/>
    <w:rsid w:val="00D22595"/>
    <w:rsid w:val="00D307E8"/>
    <w:rsid w:val="00D33578"/>
    <w:rsid w:val="00D35308"/>
    <w:rsid w:val="00D70982"/>
    <w:rsid w:val="00D71423"/>
    <w:rsid w:val="00D8580B"/>
    <w:rsid w:val="00DB1138"/>
    <w:rsid w:val="00DE4CE3"/>
    <w:rsid w:val="00DE53CB"/>
    <w:rsid w:val="00DF0769"/>
    <w:rsid w:val="00E538D1"/>
    <w:rsid w:val="00E80F90"/>
    <w:rsid w:val="00E84EF0"/>
    <w:rsid w:val="00EB0107"/>
    <w:rsid w:val="00EC5088"/>
    <w:rsid w:val="00EE1A40"/>
    <w:rsid w:val="00EF6B6A"/>
    <w:rsid w:val="00F2006F"/>
    <w:rsid w:val="00F264EE"/>
    <w:rsid w:val="00F42470"/>
    <w:rsid w:val="00F45003"/>
    <w:rsid w:val="00F60FE9"/>
    <w:rsid w:val="00F61FDA"/>
    <w:rsid w:val="00F71AFE"/>
    <w:rsid w:val="00F7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3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691"/>
  </w:style>
  <w:style w:type="paragraph" w:styleId="Footer">
    <w:name w:val="footer"/>
    <w:basedOn w:val="Normal"/>
    <w:link w:val="FooterChar"/>
    <w:uiPriority w:val="99"/>
    <w:unhideWhenUsed/>
    <w:rsid w:val="0048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691"/>
  </w:style>
  <w:style w:type="character" w:styleId="PlaceholderText">
    <w:name w:val="Placeholder Text"/>
    <w:basedOn w:val="DefaultParagraphFont"/>
    <w:uiPriority w:val="99"/>
    <w:semiHidden/>
    <w:rsid w:val="00207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2022-06-03T23:00:00Z</dcterms:created>
  <dcterms:modified xsi:type="dcterms:W3CDTF">2022-08-05T13:32:00Z</dcterms:modified>
</cp:coreProperties>
</file>