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943AB9" w:rsidRDefault="00406092" w:rsidP="00406092">
            <w:pPr>
              <w:jc w:val="center"/>
            </w:pPr>
            <w:r w:rsidRPr="00943AB9"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509AF881" w:rsidR="00C7347C" w:rsidRPr="00943AB9" w:rsidRDefault="00EC6F33" w:rsidP="00861D9C">
            <w:r w:rsidRPr="00EC6F33">
              <w:t>Areas in the workplace where noise levels exceed 85 decibels have been identified and evaluated.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111F2BA9" w:rsidR="00C7347C" w:rsidRPr="00943AB9" w:rsidRDefault="00CA078D" w:rsidP="00406092">
            <w:pPr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247A3C88" w:rsidR="00C7347C" w:rsidRPr="00943AB9" w:rsidRDefault="00020C07" w:rsidP="00861D9C">
            <w:r w:rsidRPr="00020C07">
              <w:t>Noise levels have been measured with a sound level meter or an octave band analyzer and records are being kept.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73DAB035" w:rsidR="00C7347C" w:rsidRPr="00943AB9" w:rsidRDefault="00CA078D" w:rsidP="00406092">
            <w:pPr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68172C9B" w:rsidR="00C7347C" w:rsidRPr="00943AB9" w:rsidRDefault="00270243" w:rsidP="00861D9C">
            <w:r w:rsidRPr="00270243">
              <w:t>When determined by an evaluation of worker noise exposure, a hearing conservation program has been implemented.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1B3392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27A6DBD7" w:rsidR="001B3392" w:rsidRPr="00943AB9" w:rsidRDefault="00CA078D" w:rsidP="001B3392">
            <w:pPr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0CEF8C75" w:rsidR="001B3392" w:rsidRPr="00943AB9" w:rsidRDefault="003B6903" w:rsidP="001B3392">
            <w:r w:rsidRPr="003B6903">
              <w:t>An ongoing preventive health program is in place to educate workers about safe levels of noise, exposures, effects of noise on their health, and the use of personal protection.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Default="00D8580B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8580B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474C80E0" w:rsidR="00D8580B" w:rsidRPr="00943AB9" w:rsidRDefault="00CA078D" w:rsidP="00D8580B">
            <w:pPr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278EB27A" w:rsidR="00D8580B" w:rsidRPr="00943AB9" w:rsidRDefault="002D223A" w:rsidP="00D8580B">
            <w:r w:rsidRPr="002D223A">
              <w:t>When workers are subjected to sound exceeding the levels in OSHA Standard 1910.95, Table G-16, (OSHA 1026.52 Table D-2) engineering controls, administrative controls, and/or personnel protective equipment are used to reduce the level of sound exposure to be within the levels of the table.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C4D85" w14:paraId="71C8C22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0C972C9" w14:textId="5CF8ECF0" w:rsidR="007C4D85" w:rsidRPr="00943AB9" w:rsidRDefault="00CA078D" w:rsidP="007C4D85">
            <w:pPr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B4574B1" w14:textId="66AF0992" w:rsidR="007C4D85" w:rsidRPr="00943AB9" w:rsidRDefault="00041C4F" w:rsidP="007C4D85">
            <w:r w:rsidRPr="00041C4F">
              <w:t>Approved hearing protective equipment (noise attenuating devices) is available to every employee working in noisy areas.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51346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29A84D1" w14:textId="54C2DECA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206257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CE60997" w14:textId="52E9C73E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064972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00A9A28" w14:textId="6D8D89E2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C4D85" w14:paraId="74B8BF2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14C6A88" w14:textId="54A68BAD" w:rsidR="007C4D85" w:rsidRPr="00943AB9" w:rsidRDefault="00CA078D" w:rsidP="007C4D85">
            <w:pPr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B9FCAA8" w14:textId="76E9BB40" w:rsidR="007C4D85" w:rsidRPr="00943AB9" w:rsidRDefault="00D47211" w:rsidP="007C4D85">
            <w:r w:rsidRPr="00D47211">
              <w:t>Workers are properly fitted and instructed in the use of hearing protectors.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888180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C2E7469" w14:textId="1CF1290B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657871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34B0C5" w14:textId="6AC04450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083125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96E3A20" w14:textId="6D09AF8A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C4D85" w14:paraId="677F936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94D843D" w14:textId="1449598C" w:rsidR="007C4D85" w:rsidRPr="00943AB9" w:rsidRDefault="00CA078D" w:rsidP="007C4D85">
            <w:pPr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DD6F0BA" w14:textId="24F3E18D" w:rsidR="007C4D85" w:rsidRPr="00943AB9" w:rsidRDefault="004272E3" w:rsidP="007C4D85">
            <w:r w:rsidRPr="004272E3">
              <w:t>Workers in high noise areas are given periodic audiometric testing to ensure that the hearing protection system is effective.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224815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DDDDDE" w14:textId="0DBA9D6B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37095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9586BB" w14:textId="4B35C798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992675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EA227" w14:textId="6936F51F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C4D85" w14:paraId="02A427E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719A3BB" w14:textId="5CFD0056" w:rsidR="007C4D85" w:rsidRPr="00943AB9" w:rsidRDefault="00CA078D" w:rsidP="007C4D85">
            <w:pPr>
              <w:jc w:val="center"/>
            </w:pPr>
            <w: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AB26F6" w14:textId="133B7477" w:rsidR="007C4D85" w:rsidRPr="00943AB9" w:rsidRDefault="00541A2A" w:rsidP="007C4D85">
            <w:r w:rsidRPr="00541A2A">
              <w:t>A copy of OSHA’s Occupational Noise Exposure standard is available to affected employees and posted in the workplace.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784080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025FAA" w14:textId="5A1184EA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765498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1CF4B8" w14:textId="6D24DAE0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6215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9E50958" w14:textId="39EDA35C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C4D85" w14:paraId="705AE67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27742A4" w14:textId="141C1DC6" w:rsidR="007C4D85" w:rsidRPr="00943AB9" w:rsidRDefault="00CA078D" w:rsidP="007C4D85">
            <w:pPr>
              <w:jc w:val="center"/>
            </w:pPr>
            <w: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444603A" w14:textId="36D23177" w:rsidR="007C4D85" w:rsidRPr="00943AB9" w:rsidRDefault="00CA078D" w:rsidP="007C4D85">
            <w:r w:rsidRPr="00CA078D">
              <w:t>Warning signs are posted where hearing protection is needed.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506545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2C51F5" w14:textId="6CF778FD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448038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510962" w14:textId="6CE96DCE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201817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0E1C54E" w14:textId="52266741" w:rsidR="007C4D85" w:rsidRDefault="007C4D85" w:rsidP="007C4D85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p w14:paraId="462D4B9D" w14:textId="77777777" w:rsidR="006E4D87" w:rsidRDefault="006E4D87"/>
    <w:p w14:paraId="558B5D68" w14:textId="77777777" w:rsidR="002A01A0" w:rsidRDefault="002A01A0" w:rsidP="00CE0E6D">
      <w:pPr>
        <w:spacing w:after="80"/>
        <w:jc w:val="center"/>
        <w:rPr>
          <w:rFonts w:ascii="Verdana" w:hAnsi="Verdana"/>
          <w:sz w:val="24"/>
          <w:szCs w:val="24"/>
        </w:rPr>
      </w:pPr>
    </w:p>
    <w:p w14:paraId="4D8B4DBE" w14:textId="134EEA9E" w:rsidR="00FA59EF" w:rsidRPr="00CE0E6D" w:rsidRDefault="00CE0E6D" w:rsidP="00CE0E6D">
      <w:pPr>
        <w:spacing w:after="80"/>
        <w:jc w:val="center"/>
        <w:rPr>
          <w:rFonts w:ascii="Verdana" w:hAnsi="Verdana"/>
          <w:sz w:val="24"/>
          <w:szCs w:val="24"/>
        </w:rPr>
      </w:pPr>
      <w:r w:rsidRPr="00CE0E6D">
        <w:rPr>
          <w:rFonts w:ascii="Verdana" w:hAnsi="Verdana"/>
          <w:sz w:val="24"/>
          <w:szCs w:val="24"/>
        </w:rPr>
        <w:t>PERMISSIBLE NOISE EXPOSURES</w:t>
      </w:r>
    </w:p>
    <w:p w14:paraId="5C82E6D2" w14:textId="02E3BFEB" w:rsidR="006E4D87" w:rsidRPr="00CE0E6D" w:rsidRDefault="00B9255A" w:rsidP="004F5AA0">
      <w:pPr>
        <w:jc w:val="center"/>
        <w:rPr>
          <w:sz w:val="24"/>
          <w:szCs w:val="24"/>
        </w:rPr>
      </w:pPr>
      <w:r w:rsidRPr="00CE0E6D">
        <w:rPr>
          <w:sz w:val="24"/>
          <w:szCs w:val="24"/>
        </w:rPr>
        <w:t>1910.</w:t>
      </w:r>
      <w:r w:rsidR="00D4790F" w:rsidRPr="00CE0E6D">
        <w:rPr>
          <w:sz w:val="24"/>
          <w:szCs w:val="24"/>
        </w:rPr>
        <w:t>95</w:t>
      </w:r>
      <w:r w:rsidRPr="00CE0E6D">
        <w:rPr>
          <w:sz w:val="24"/>
          <w:szCs w:val="24"/>
        </w:rPr>
        <w:t xml:space="preserve"> Table </w:t>
      </w:r>
      <w:r w:rsidR="004F5AA0" w:rsidRPr="00CE0E6D">
        <w:rPr>
          <w:sz w:val="24"/>
          <w:szCs w:val="24"/>
        </w:rPr>
        <w:t>G-16</w:t>
      </w:r>
      <w:r w:rsidRPr="00CE0E6D">
        <w:rPr>
          <w:sz w:val="24"/>
          <w:szCs w:val="24"/>
        </w:rPr>
        <w:t xml:space="preserve"> / 1926.</w:t>
      </w:r>
      <w:r w:rsidR="004F5AA0" w:rsidRPr="00CE0E6D">
        <w:rPr>
          <w:sz w:val="24"/>
          <w:szCs w:val="24"/>
        </w:rPr>
        <w:t>52 Table D-2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4D87" w14:paraId="2BCF4799" w14:textId="77777777" w:rsidTr="00A8620F">
        <w:tc>
          <w:tcPr>
            <w:tcW w:w="4675" w:type="dxa"/>
            <w:tcBorders>
              <w:bottom w:val="single" w:sz="8" w:space="0" w:color="auto"/>
            </w:tcBorders>
          </w:tcPr>
          <w:p w14:paraId="640AC4CC" w14:textId="6F12A27C" w:rsidR="006E4D87" w:rsidRPr="0041497A" w:rsidRDefault="006B5F7A" w:rsidP="006B5F7A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Duration per day, hours</w:t>
            </w:r>
          </w:p>
        </w:tc>
        <w:tc>
          <w:tcPr>
            <w:tcW w:w="4675" w:type="dxa"/>
            <w:tcBorders>
              <w:bottom w:val="single" w:sz="8" w:space="0" w:color="auto"/>
            </w:tcBorders>
          </w:tcPr>
          <w:p w14:paraId="0C2CC005" w14:textId="5ECFE73F" w:rsidR="006E4D87" w:rsidRPr="0041497A" w:rsidRDefault="006B5F7A" w:rsidP="006B5F7A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Sound level dBA slow response</w:t>
            </w:r>
          </w:p>
        </w:tc>
      </w:tr>
      <w:tr w:rsidR="00A8620F" w14:paraId="0E4031BF" w14:textId="77777777" w:rsidTr="00A8620F">
        <w:tc>
          <w:tcPr>
            <w:tcW w:w="4675" w:type="dxa"/>
            <w:tcBorders>
              <w:top w:val="single" w:sz="8" w:space="0" w:color="auto"/>
            </w:tcBorders>
          </w:tcPr>
          <w:p w14:paraId="15BDD3F9" w14:textId="620FE731" w:rsidR="00A8620F" w:rsidRPr="0041497A" w:rsidRDefault="00DE2147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2E79B5CC" w14:textId="62E92E4B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90</w:t>
            </w:r>
          </w:p>
        </w:tc>
      </w:tr>
      <w:tr w:rsidR="00A8620F" w14:paraId="0982BFFC" w14:textId="77777777" w:rsidTr="006E4D87">
        <w:tc>
          <w:tcPr>
            <w:tcW w:w="4675" w:type="dxa"/>
          </w:tcPr>
          <w:p w14:paraId="03E90154" w14:textId="1725245C" w:rsidR="00A8620F" w:rsidRPr="0041497A" w:rsidRDefault="00DE2147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1CE49DB4" w14:textId="284B5668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92</w:t>
            </w:r>
          </w:p>
        </w:tc>
      </w:tr>
      <w:tr w:rsidR="00A8620F" w14:paraId="51C183C4" w14:textId="77777777" w:rsidTr="006E4D87">
        <w:tc>
          <w:tcPr>
            <w:tcW w:w="4675" w:type="dxa"/>
          </w:tcPr>
          <w:p w14:paraId="2F088450" w14:textId="06F0A3EF" w:rsidR="00A8620F" w:rsidRPr="0041497A" w:rsidRDefault="00DE2147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74C8ADD4" w14:textId="174A0D70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95</w:t>
            </w:r>
          </w:p>
        </w:tc>
      </w:tr>
      <w:tr w:rsidR="00A8620F" w14:paraId="381BFB9D" w14:textId="77777777" w:rsidTr="006E4D87">
        <w:tc>
          <w:tcPr>
            <w:tcW w:w="4675" w:type="dxa"/>
          </w:tcPr>
          <w:p w14:paraId="0B0B4EE7" w14:textId="58CDB860" w:rsidR="00A8620F" w:rsidRPr="0041497A" w:rsidRDefault="00DE2147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4BDEA991" w14:textId="7F893FEC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97</w:t>
            </w:r>
          </w:p>
        </w:tc>
      </w:tr>
      <w:tr w:rsidR="00A8620F" w14:paraId="616635A9" w14:textId="77777777" w:rsidTr="006E4D87">
        <w:tc>
          <w:tcPr>
            <w:tcW w:w="4675" w:type="dxa"/>
          </w:tcPr>
          <w:p w14:paraId="7DCD00DA" w14:textId="67272FB0" w:rsidR="00A8620F" w:rsidRPr="0041497A" w:rsidRDefault="00DE2147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3CA6ADCC" w14:textId="737BA976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100</w:t>
            </w:r>
          </w:p>
        </w:tc>
      </w:tr>
      <w:tr w:rsidR="00A8620F" w14:paraId="0258ED0F" w14:textId="77777777" w:rsidTr="006E4D87">
        <w:tc>
          <w:tcPr>
            <w:tcW w:w="4675" w:type="dxa"/>
          </w:tcPr>
          <w:p w14:paraId="3A8382FC" w14:textId="181A458E" w:rsidR="00A8620F" w:rsidRPr="0041497A" w:rsidRDefault="00DE2147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1-1/2</w:t>
            </w:r>
          </w:p>
        </w:tc>
        <w:tc>
          <w:tcPr>
            <w:tcW w:w="4675" w:type="dxa"/>
          </w:tcPr>
          <w:p w14:paraId="6244BECF" w14:textId="2E0EED41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102</w:t>
            </w:r>
          </w:p>
        </w:tc>
      </w:tr>
      <w:tr w:rsidR="00A8620F" w14:paraId="09DC0A81" w14:textId="77777777" w:rsidTr="006E4D87">
        <w:tc>
          <w:tcPr>
            <w:tcW w:w="4675" w:type="dxa"/>
          </w:tcPr>
          <w:p w14:paraId="74FD217E" w14:textId="42EB0E62" w:rsidR="00A8620F" w:rsidRPr="0041497A" w:rsidRDefault="00DE2147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2DFACECB" w14:textId="559B24C7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105</w:t>
            </w:r>
          </w:p>
        </w:tc>
      </w:tr>
      <w:tr w:rsidR="00A8620F" w14:paraId="7D441033" w14:textId="77777777" w:rsidTr="006E4D87">
        <w:tc>
          <w:tcPr>
            <w:tcW w:w="4675" w:type="dxa"/>
          </w:tcPr>
          <w:p w14:paraId="51B1874C" w14:textId="7CC42136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1/2</w:t>
            </w:r>
          </w:p>
        </w:tc>
        <w:tc>
          <w:tcPr>
            <w:tcW w:w="4675" w:type="dxa"/>
          </w:tcPr>
          <w:p w14:paraId="22A05E08" w14:textId="3A9558C1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110</w:t>
            </w:r>
          </w:p>
        </w:tc>
      </w:tr>
      <w:tr w:rsidR="00A8620F" w14:paraId="0ABB082B" w14:textId="77777777" w:rsidTr="006E4D87">
        <w:tc>
          <w:tcPr>
            <w:tcW w:w="4675" w:type="dxa"/>
          </w:tcPr>
          <w:p w14:paraId="672AE3B9" w14:textId="1FCC634E" w:rsidR="00A8620F" w:rsidRPr="0041497A" w:rsidRDefault="00FA59EF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1/4</w:t>
            </w:r>
            <w:r w:rsidR="00B857AB" w:rsidRPr="0041497A">
              <w:rPr>
                <w:sz w:val="24"/>
                <w:szCs w:val="24"/>
              </w:rPr>
              <w:t xml:space="preserve"> or less</w:t>
            </w:r>
          </w:p>
        </w:tc>
        <w:tc>
          <w:tcPr>
            <w:tcW w:w="4675" w:type="dxa"/>
          </w:tcPr>
          <w:p w14:paraId="736F2A6A" w14:textId="7E979444" w:rsidR="00A8620F" w:rsidRPr="0041497A" w:rsidRDefault="00B857AB" w:rsidP="00B857AB">
            <w:pPr>
              <w:jc w:val="center"/>
              <w:rPr>
                <w:sz w:val="24"/>
                <w:szCs w:val="24"/>
              </w:rPr>
            </w:pPr>
            <w:r w:rsidRPr="0041497A">
              <w:rPr>
                <w:sz w:val="24"/>
                <w:szCs w:val="24"/>
              </w:rPr>
              <w:t>115</w:t>
            </w:r>
          </w:p>
        </w:tc>
      </w:tr>
    </w:tbl>
    <w:p w14:paraId="5964E604" w14:textId="77777777" w:rsidR="006E4D87" w:rsidRDefault="006E4D87"/>
    <w:p w14:paraId="728F79C1" w14:textId="77777777" w:rsidR="006E4D87" w:rsidRDefault="006E4D87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2A01A0">
        <w:trPr>
          <w:trHeight w:val="6048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2C1A" w14:textId="77777777" w:rsidR="00A915B8" w:rsidRDefault="00A915B8" w:rsidP="00486691">
      <w:pPr>
        <w:spacing w:after="0" w:line="240" w:lineRule="auto"/>
      </w:pPr>
      <w:r>
        <w:separator/>
      </w:r>
    </w:p>
  </w:endnote>
  <w:endnote w:type="continuationSeparator" w:id="0">
    <w:p w14:paraId="7DFF236D" w14:textId="77777777" w:rsidR="00A915B8" w:rsidRDefault="00A915B8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7758" w14:textId="77777777" w:rsidR="00A915B8" w:rsidRDefault="00A915B8" w:rsidP="00486691">
      <w:pPr>
        <w:spacing w:after="0" w:line="240" w:lineRule="auto"/>
      </w:pPr>
      <w:r>
        <w:separator/>
      </w:r>
    </w:p>
  </w:footnote>
  <w:footnote w:type="continuationSeparator" w:id="0">
    <w:p w14:paraId="2CEC8BF7" w14:textId="77777777" w:rsidR="00A915B8" w:rsidRDefault="00A915B8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5D87" w14:textId="6EEBED72" w:rsidR="00D33578" w:rsidRDefault="002C7F7F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WORKPLACE NOISE EXPOSURE CHECKLIST</w:t>
    </w:r>
  </w:p>
  <w:p w14:paraId="01D6D2A3" w14:textId="77777777" w:rsidR="002C7F7F" w:rsidRPr="0020701E" w:rsidRDefault="002C7F7F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20C07"/>
    <w:rsid w:val="00041C4F"/>
    <w:rsid w:val="00053231"/>
    <w:rsid w:val="00057A41"/>
    <w:rsid w:val="000641C3"/>
    <w:rsid w:val="00085A2E"/>
    <w:rsid w:val="00092DA9"/>
    <w:rsid w:val="0009410E"/>
    <w:rsid w:val="000F46CE"/>
    <w:rsid w:val="001059F9"/>
    <w:rsid w:val="001346B8"/>
    <w:rsid w:val="001464AA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4E5A"/>
    <w:rsid w:val="0020701E"/>
    <w:rsid w:val="00234533"/>
    <w:rsid w:val="00234E3B"/>
    <w:rsid w:val="00236FB4"/>
    <w:rsid w:val="00240110"/>
    <w:rsid w:val="00266689"/>
    <w:rsid w:val="00270243"/>
    <w:rsid w:val="00282071"/>
    <w:rsid w:val="002A01A0"/>
    <w:rsid w:val="002B1F6B"/>
    <w:rsid w:val="002C7F7F"/>
    <w:rsid w:val="002D223A"/>
    <w:rsid w:val="00320613"/>
    <w:rsid w:val="00327886"/>
    <w:rsid w:val="00355C6B"/>
    <w:rsid w:val="003577CF"/>
    <w:rsid w:val="00386C9E"/>
    <w:rsid w:val="003A1358"/>
    <w:rsid w:val="003A5851"/>
    <w:rsid w:val="003A5D3A"/>
    <w:rsid w:val="003B1EEC"/>
    <w:rsid w:val="003B6903"/>
    <w:rsid w:val="003E016B"/>
    <w:rsid w:val="004020F9"/>
    <w:rsid w:val="00406092"/>
    <w:rsid w:val="00410267"/>
    <w:rsid w:val="004146D2"/>
    <w:rsid w:val="0041497A"/>
    <w:rsid w:val="00416384"/>
    <w:rsid w:val="004227EB"/>
    <w:rsid w:val="00424471"/>
    <w:rsid w:val="004272E3"/>
    <w:rsid w:val="004537A2"/>
    <w:rsid w:val="00486691"/>
    <w:rsid w:val="004939E5"/>
    <w:rsid w:val="004A00A2"/>
    <w:rsid w:val="004A10BD"/>
    <w:rsid w:val="004D197B"/>
    <w:rsid w:val="004E0BA3"/>
    <w:rsid w:val="004F5AA0"/>
    <w:rsid w:val="00510FA8"/>
    <w:rsid w:val="00515382"/>
    <w:rsid w:val="00535BA2"/>
    <w:rsid w:val="00536AEB"/>
    <w:rsid w:val="00541A2A"/>
    <w:rsid w:val="00542E0D"/>
    <w:rsid w:val="00547D0D"/>
    <w:rsid w:val="00581312"/>
    <w:rsid w:val="00585D51"/>
    <w:rsid w:val="005933B5"/>
    <w:rsid w:val="005B7203"/>
    <w:rsid w:val="005D7EEA"/>
    <w:rsid w:val="006018A6"/>
    <w:rsid w:val="00605355"/>
    <w:rsid w:val="006127DA"/>
    <w:rsid w:val="00621659"/>
    <w:rsid w:val="00667221"/>
    <w:rsid w:val="0067355C"/>
    <w:rsid w:val="00677E6F"/>
    <w:rsid w:val="00691611"/>
    <w:rsid w:val="006A3EC8"/>
    <w:rsid w:val="006B5F7A"/>
    <w:rsid w:val="006C2807"/>
    <w:rsid w:val="006E3493"/>
    <w:rsid w:val="006E4D87"/>
    <w:rsid w:val="006F0BDA"/>
    <w:rsid w:val="006F1348"/>
    <w:rsid w:val="00707A06"/>
    <w:rsid w:val="00711224"/>
    <w:rsid w:val="007141C9"/>
    <w:rsid w:val="0071434E"/>
    <w:rsid w:val="007254A1"/>
    <w:rsid w:val="0073021E"/>
    <w:rsid w:val="007401E3"/>
    <w:rsid w:val="007527B9"/>
    <w:rsid w:val="00760112"/>
    <w:rsid w:val="00771BCE"/>
    <w:rsid w:val="00781490"/>
    <w:rsid w:val="007922FA"/>
    <w:rsid w:val="007A323F"/>
    <w:rsid w:val="007A4256"/>
    <w:rsid w:val="007C4D85"/>
    <w:rsid w:val="007D3750"/>
    <w:rsid w:val="007D5730"/>
    <w:rsid w:val="007F5077"/>
    <w:rsid w:val="0080301B"/>
    <w:rsid w:val="0080301E"/>
    <w:rsid w:val="008046A2"/>
    <w:rsid w:val="00821CDD"/>
    <w:rsid w:val="00835BD1"/>
    <w:rsid w:val="00840156"/>
    <w:rsid w:val="0085759C"/>
    <w:rsid w:val="00861D9C"/>
    <w:rsid w:val="00864D35"/>
    <w:rsid w:val="0088693D"/>
    <w:rsid w:val="008C3185"/>
    <w:rsid w:val="008C3FFE"/>
    <w:rsid w:val="008C4C1B"/>
    <w:rsid w:val="008F05CC"/>
    <w:rsid w:val="008F2E07"/>
    <w:rsid w:val="008F3159"/>
    <w:rsid w:val="00900E7F"/>
    <w:rsid w:val="00915D1F"/>
    <w:rsid w:val="00924FA0"/>
    <w:rsid w:val="00935716"/>
    <w:rsid w:val="00935AB7"/>
    <w:rsid w:val="00941ABD"/>
    <w:rsid w:val="00943AB9"/>
    <w:rsid w:val="00946D40"/>
    <w:rsid w:val="00955D84"/>
    <w:rsid w:val="00957FC4"/>
    <w:rsid w:val="00971B65"/>
    <w:rsid w:val="00972923"/>
    <w:rsid w:val="009A624E"/>
    <w:rsid w:val="009B5724"/>
    <w:rsid w:val="009B6CC3"/>
    <w:rsid w:val="009C2D9E"/>
    <w:rsid w:val="009C7E51"/>
    <w:rsid w:val="009C7FBE"/>
    <w:rsid w:val="009D713A"/>
    <w:rsid w:val="009F565B"/>
    <w:rsid w:val="00A0381B"/>
    <w:rsid w:val="00A03EBA"/>
    <w:rsid w:val="00A264BC"/>
    <w:rsid w:val="00A31FBA"/>
    <w:rsid w:val="00A53D9B"/>
    <w:rsid w:val="00A8620F"/>
    <w:rsid w:val="00A915B8"/>
    <w:rsid w:val="00A96DF4"/>
    <w:rsid w:val="00AA487A"/>
    <w:rsid w:val="00AB3F41"/>
    <w:rsid w:val="00AE26A3"/>
    <w:rsid w:val="00B64D46"/>
    <w:rsid w:val="00B76424"/>
    <w:rsid w:val="00B829EA"/>
    <w:rsid w:val="00B847F6"/>
    <w:rsid w:val="00B857AB"/>
    <w:rsid w:val="00B86037"/>
    <w:rsid w:val="00B9255A"/>
    <w:rsid w:val="00BD54D7"/>
    <w:rsid w:val="00BD63A6"/>
    <w:rsid w:val="00BE1124"/>
    <w:rsid w:val="00BF262F"/>
    <w:rsid w:val="00C00079"/>
    <w:rsid w:val="00C039F8"/>
    <w:rsid w:val="00C16FAA"/>
    <w:rsid w:val="00C2227C"/>
    <w:rsid w:val="00C22715"/>
    <w:rsid w:val="00C307BD"/>
    <w:rsid w:val="00C4392B"/>
    <w:rsid w:val="00C45D19"/>
    <w:rsid w:val="00C54E15"/>
    <w:rsid w:val="00C629CA"/>
    <w:rsid w:val="00C716DB"/>
    <w:rsid w:val="00C7347C"/>
    <w:rsid w:val="00CA078D"/>
    <w:rsid w:val="00CB46F7"/>
    <w:rsid w:val="00CB5C04"/>
    <w:rsid w:val="00CC19D8"/>
    <w:rsid w:val="00CD3F13"/>
    <w:rsid w:val="00CE0E6D"/>
    <w:rsid w:val="00CE44A1"/>
    <w:rsid w:val="00CF105C"/>
    <w:rsid w:val="00CF1187"/>
    <w:rsid w:val="00CF14B1"/>
    <w:rsid w:val="00D154E7"/>
    <w:rsid w:val="00D307E8"/>
    <w:rsid w:val="00D33578"/>
    <w:rsid w:val="00D35308"/>
    <w:rsid w:val="00D47211"/>
    <w:rsid w:val="00D4790F"/>
    <w:rsid w:val="00D515D3"/>
    <w:rsid w:val="00D70982"/>
    <w:rsid w:val="00D71423"/>
    <w:rsid w:val="00D8580B"/>
    <w:rsid w:val="00DB1138"/>
    <w:rsid w:val="00DE2147"/>
    <w:rsid w:val="00DE4CE3"/>
    <w:rsid w:val="00DE53CB"/>
    <w:rsid w:val="00DF0769"/>
    <w:rsid w:val="00E538D1"/>
    <w:rsid w:val="00E80F90"/>
    <w:rsid w:val="00EB0107"/>
    <w:rsid w:val="00EC5088"/>
    <w:rsid w:val="00EC6F33"/>
    <w:rsid w:val="00EE013F"/>
    <w:rsid w:val="00EE1A40"/>
    <w:rsid w:val="00EF6B6A"/>
    <w:rsid w:val="00F2006F"/>
    <w:rsid w:val="00F264EE"/>
    <w:rsid w:val="00F42470"/>
    <w:rsid w:val="00F45003"/>
    <w:rsid w:val="00F60FE9"/>
    <w:rsid w:val="00F61FDA"/>
    <w:rsid w:val="00F71AFE"/>
    <w:rsid w:val="00F729D9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2022-07-18T00:13:00Z</dcterms:modified>
</cp:coreProperties>
</file>