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5"/>
        <w:gridCol w:w="5485"/>
      </w:tblGrid>
      <w:tr w:rsidR="00B83884" w:rsidRPr="0084533D" w14:paraId="18E802CD" w14:textId="77777777" w:rsidTr="00F82DC9">
        <w:trPr>
          <w:trHeight w:val="576"/>
          <w:tblHeader/>
        </w:trPr>
        <w:tc>
          <w:tcPr>
            <w:tcW w:w="530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4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867"/>
              <w:gridCol w:w="2426"/>
              <w:gridCol w:w="3051"/>
            </w:tblGrid>
            <w:tr w:rsidR="0084533D" w:rsidRPr="001D027E" w14:paraId="18E802D2" w14:textId="77777777" w:rsidTr="00F82D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86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C3DD47D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A347EB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135A0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347EB">
                    <w:rPr>
                      <w:rFonts w:ascii="Calibri" w:hAnsi="Calibri"/>
                      <w:i/>
                      <w:sz w:val="22"/>
                    </w:rPr>
                    <w:t>– Workplace Violence</w:t>
                  </w:r>
                </w:p>
              </w:tc>
              <w:tc>
                <w:tcPr>
                  <w:tcW w:w="2426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F82D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86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135A0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347EB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82DC9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2022-06-21T13:55:00Z</dcterms:modified>
  <cp:version/>
</cp:coreProperties>
</file>